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2B2864" w14:textId="77777777" w:rsidR="00956E1A" w:rsidRPr="000C2CF6" w:rsidRDefault="00447BE1" w:rsidP="00B85671">
      <w:pPr>
        <w:rPr>
          <w:rFonts w:ascii="Verdana" w:hAnsi="Verdana"/>
          <w:sz w:val="22"/>
          <w:szCs w:val="22"/>
        </w:rPr>
      </w:pPr>
      <w:r w:rsidRPr="000C2CF6">
        <w:rPr>
          <w:rFonts w:ascii="Verdana" w:hAnsi="Verdana"/>
          <w:noProof/>
          <w:color w:val="2B579A"/>
          <w:sz w:val="22"/>
          <w:szCs w:val="22"/>
          <w:shd w:val="clear" w:color="auto" w:fill="E6E6E6"/>
        </w:rPr>
        <w:drawing>
          <wp:anchor distT="0" distB="0" distL="114300" distR="114300" simplePos="0" relativeHeight="251658246" behindDoc="1" locked="0" layoutInCell="1" allowOverlap="1" wp14:anchorId="242AB91A" wp14:editId="160BCD54">
            <wp:simplePos x="0" y="0"/>
            <wp:positionH relativeFrom="column">
              <wp:posOffset>-22860</wp:posOffset>
            </wp:positionH>
            <wp:positionV relativeFrom="paragraph">
              <wp:posOffset>-55880</wp:posOffset>
            </wp:positionV>
            <wp:extent cx="6781800" cy="3078480"/>
            <wp:effectExtent l="0" t="0" r="0" b="762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age-bann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81800" cy="3078480"/>
                    </a:xfrm>
                    <a:prstGeom prst="rect">
                      <a:avLst/>
                    </a:prstGeom>
                  </pic:spPr>
                </pic:pic>
              </a:graphicData>
            </a:graphic>
            <wp14:sizeRelH relativeFrom="page">
              <wp14:pctWidth>0</wp14:pctWidth>
            </wp14:sizeRelH>
            <wp14:sizeRelV relativeFrom="page">
              <wp14:pctHeight>0</wp14:pctHeight>
            </wp14:sizeRelV>
          </wp:anchor>
        </w:drawing>
      </w:r>
      <w:r w:rsidRPr="000C2CF6">
        <w:rPr>
          <w:rFonts w:ascii="Verdana" w:hAnsi="Verdana"/>
          <w:noProof/>
          <w:color w:val="2B579A"/>
          <w:sz w:val="22"/>
          <w:szCs w:val="22"/>
          <w:shd w:val="clear" w:color="auto" w:fill="E6E6E6"/>
        </w:rPr>
        <w:drawing>
          <wp:anchor distT="0" distB="0" distL="114300" distR="114300" simplePos="0" relativeHeight="251658248" behindDoc="0" locked="0" layoutInCell="1" allowOverlap="1" wp14:anchorId="5DD0C071" wp14:editId="791F2836">
            <wp:simplePos x="0" y="0"/>
            <wp:positionH relativeFrom="column">
              <wp:posOffset>411480</wp:posOffset>
            </wp:positionH>
            <wp:positionV relativeFrom="paragraph">
              <wp:posOffset>-152400</wp:posOffset>
            </wp:positionV>
            <wp:extent cx="2286000" cy="548640"/>
            <wp:effectExtent l="0" t="0" r="0" b="3810"/>
            <wp:wrapNone/>
            <wp:docPr id="4" name="Picture 4">
              <a:hlinkClick xmlns:a="http://schemas.openxmlformats.org/drawingml/2006/main" r:id="rId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2"/>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2286000" cy="548640"/>
                    </a:xfrm>
                    <a:prstGeom prst="rect">
                      <a:avLst/>
                    </a:prstGeom>
                  </pic:spPr>
                </pic:pic>
              </a:graphicData>
            </a:graphic>
            <wp14:sizeRelH relativeFrom="page">
              <wp14:pctWidth>0</wp14:pctWidth>
            </wp14:sizeRelH>
            <wp14:sizeRelV relativeFrom="page">
              <wp14:pctHeight>0</wp14:pctHeight>
            </wp14:sizeRelV>
          </wp:anchor>
        </w:drawing>
      </w:r>
      <w:r w:rsidRPr="000C2CF6">
        <w:rPr>
          <w:rFonts w:ascii="Verdana" w:hAnsi="Verdana"/>
          <w:noProof/>
          <w:color w:val="2B579A"/>
          <w:sz w:val="22"/>
          <w:szCs w:val="22"/>
          <w:shd w:val="clear" w:color="auto" w:fill="E6E6E6"/>
        </w:rPr>
        <w:drawing>
          <wp:anchor distT="0" distB="0" distL="114300" distR="114300" simplePos="0" relativeHeight="251658247" behindDoc="0" locked="0" layoutInCell="1" allowOverlap="1" wp14:anchorId="6ADB1C05" wp14:editId="72CED3AA">
            <wp:simplePos x="0" y="0"/>
            <wp:positionH relativeFrom="column">
              <wp:posOffset>83820</wp:posOffset>
            </wp:positionH>
            <wp:positionV relativeFrom="paragraph">
              <wp:posOffset>-350520</wp:posOffset>
            </wp:positionV>
            <wp:extent cx="6633845" cy="126492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l_polygon_top_transparent.png"/>
                    <pic:cNvPicPr/>
                  </pic:nvPicPr>
                  <pic:blipFill>
                    <a:blip r:embed="rId14">
                      <a:extLst>
                        <a:ext uri="{28A0092B-C50C-407E-A947-70E740481C1C}">
                          <a14:useLocalDpi xmlns:a14="http://schemas.microsoft.com/office/drawing/2010/main" val="0"/>
                        </a:ext>
                      </a:extLst>
                    </a:blip>
                    <a:stretch>
                      <a:fillRect/>
                    </a:stretch>
                  </pic:blipFill>
                  <pic:spPr>
                    <a:xfrm>
                      <a:off x="0" y="0"/>
                      <a:ext cx="6633845" cy="1264920"/>
                    </a:xfrm>
                    <a:prstGeom prst="rect">
                      <a:avLst/>
                    </a:prstGeom>
                  </pic:spPr>
                </pic:pic>
              </a:graphicData>
            </a:graphic>
            <wp14:sizeRelH relativeFrom="page">
              <wp14:pctWidth>0</wp14:pctWidth>
            </wp14:sizeRelH>
            <wp14:sizeRelV relativeFrom="page">
              <wp14:pctHeight>0</wp14:pctHeight>
            </wp14:sizeRelV>
          </wp:anchor>
        </w:drawing>
      </w:r>
    </w:p>
    <w:p w14:paraId="46B966EF" w14:textId="77777777" w:rsidR="00956E1A" w:rsidRPr="000C2CF6" w:rsidRDefault="00956E1A" w:rsidP="00B85671">
      <w:pPr>
        <w:rPr>
          <w:rFonts w:ascii="Verdana" w:hAnsi="Verdana"/>
          <w:sz w:val="22"/>
          <w:szCs w:val="22"/>
        </w:rPr>
      </w:pPr>
    </w:p>
    <w:p w14:paraId="51AEBA29" w14:textId="77777777" w:rsidR="00956E1A" w:rsidRPr="000C2CF6" w:rsidRDefault="00956E1A" w:rsidP="00B85671">
      <w:pPr>
        <w:rPr>
          <w:rFonts w:ascii="Verdana" w:hAnsi="Verdana"/>
          <w:sz w:val="22"/>
          <w:szCs w:val="22"/>
        </w:rPr>
      </w:pPr>
    </w:p>
    <w:p w14:paraId="3728A0D8" w14:textId="77777777" w:rsidR="00956E1A" w:rsidRPr="000C2CF6" w:rsidRDefault="00956E1A" w:rsidP="00B85671">
      <w:pPr>
        <w:rPr>
          <w:rFonts w:ascii="Verdana" w:hAnsi="Verdana"/>
          <w:sz w:val="22"/>
          <w:szCs w:val="22"/>
        </w:rPr>
      </w:pPr>
    </w:p>
    <w:p w14:paraId="2CAF522A" w14:textId="77777777" w:rsidR="00956E1A" w:rsidRPr="000C2CF6" w:rsidRDefault="00956E1A" w:rsidP="00B85671">
      <w:pPr>
        <w:rPr>
          <w:rFonts w:ascii="Verdana" w:hAnsi="Verdana"/>
          <w:sz w:val="22"/>
          <w:szCs w:val="22"/>
        </w:rPr>
      </w:pPr>
    </w:p>
    <w:p w14:paraId="5CEFEAF9" w14:textId="77777777" w:rsidR="00956E1A" w:rsidRPr="000C2CF6" w:rsidRDefault="00956E1A" w:rsidP="00B85671">
      <w:pPr>
        <w:rPr>
          <w:rFonts w:ascii="Verdana" w:hAnsi="Verdana"/>
          <w:sz w:val="22"/>
          <w:szCs w:val="22"/>
        </w:rPr>
      </w:pPr>
    </w:p>
    <w:p w14:paraId="7B164ADD" w14:textId="77777777" w:rsidR="00956E1A" w:rsidRPr="000C2CF6" w:rsidRDefault="00956E1A" w:rsidP="00B85671">
      <w:pPr>
        <w:rPr>
          <w:rFonts w:ascii="Verdana" w:hAnsi="Verdana"/>
          <w:sz w:val="22"/>
          <w:szCs w:val="22"/>
        </w:rPr>
      </w:pPr>
    </w:p>
    <w:p w14:paraId="2142FC85" w14:textId="77777777" w:rsidR="00956E1A" w:rsidRPr="000C2CF6" w:rsidRDefault="00956E1A" w:rsidP="00B85671">
      <w:pPr>
        <w:rPr>
          <w:rFonts w:ascii="Verdana" w:hAnsi="Verdana"/>
          <w:sz w:val="22"/>
          <w:szCs w:val="22"/>
        </w:rPr>
      </w:pPr>
    </w:p>
    <w:p w14:paraId="21DE3417" w14:textId="77777777" w:rsidR="00956E1A" w:rsidRPr="000C2CF6" w:rsidRDefault="00956E1A" w:rsidP="00956E1A">
      <w:pPr>
        <w:rPr>
          <w:rFonts w:ascii="Verdana" w:hAnsi="Verdana"/>
          <w:sz w:val="22"/>
          <w:szCs w:val="22"/>
        </w:rPr>
      </w:pPr>
    </w:p>
    <w:p w14:paraId="64810B8D" w14:textId="77777777" w:rsidR="00EE67B8" w:rsidRPr="000C2CF6" w:rsidRDefault="00EE67B8" w:rsidP="00EE67B8">
      <w:pPr>
        <w:spacing w:after="0"/>
        <w:jc w:val="center"/>
        <w:rPr>
          <w:rFonts w:ascii="Verdana" w:hAnsi="Verdana"/>
          <w:b/>
          <w:color w:val="2D7C82"/>
          <w:sz w:val="44"/>
          <w:szCs w:val="44"/>
        </w:rPr>
      </w:pPr>
    </w:p>
    <w:p w14:paraId="45A51F14" w14:textId="77777777" w:rsidR="00692C96" w:rsidRPr="000C2CF6" w:rsidRDefault="00692C96" w:rsidP="00692C96">
      <w:pPr>
        <w:rPr>
          <w:rFonts w:ascii="Verdana" w:hAnsi="Verdana"/>
          <w:b/>
          <w:color w:val="2D7C82"/>
          <w:sz w:val="44"/>
          <w:szCs w:val="44"/>
        </w:rPr>
      </w:pPr>
    </w:p>
    <w:p w14:paraId="6AA60998" w14:textId="7AE308A4" w:rsidR="00F2326E" w:rsidRPr="000C2CF6" w:rsidRDefault="00F2326E" w:rsidP="009B6535">
      <w:pPr>
        <w:rPr>
          <w:rFonts w:ascii="Verdana" w:hAnsi="Verdana"/>
          <w:b/>
          <w:color w:val="2D7C82"/>
          <w:sz w:val="36"/>
          <w:szCs w:val="44"/>
        </w:rPr>
      </w:pPr>
    </w:p>
    <w:p w14:paraId="3C4B72DF" w14:textId="77777777" w:rsidR="001547F6" w:rsidRPr="004837FE" w:rsidRDefault="001547F6" w:rsidP="001547F6">
      <w:pPr>
        <w:jc w:val="center"/>
      </w:pPr>
      <w:r>
        <w:rPr>
          <w:rFonts w:ascii="Verdana" w:hAnsi="Verdana"/>
          <w:b/>
          <w:color w:val="2D7C82"/>
          <w:sz w:val="44"/>
          <w:szCs w:val="44"/>
        </w:rPr>
        <w:t>Kent Sexual Health Needs Assessment</w:t>
      </w:r>
    </w:p>
    <w:p w14:paraId="4E356214" w14:textId="77777777" w:rsidR="005433A7" w:rsidRDefault="005433A7" w:rsidP="00956E1A">
      <w:pPr>
        <w:jc w:val="center"/>
        <w:rPr>
          <w:rFonts w:ascii="Verdana" w:hAnsi="Verdana"/>
          <w:b/>
          <w:color w:val="2D7C82"/>
          <w:sz w:val="44"/>
          <w:szCs w:val="44"/>
        </w:rPr>
      </w:pPr>
    </w:p>
    <w:p w14:paraId="1BAA268B" w14:textId="77777777" w:rsidR="001547F6" w:rsidRPr="000C2CF6" w:rsidRDefault="001547F6" w:rsidP="00956E1A">
      <w:pPr>
        <w:jc w:val="center"/>
        <w:rPr>
          <w:rFonts w:ascii="Verdana" w:hAnsi="Verdana"/>
          <w:b/>
          <w:color w:val="2D7C82"/>
          <w:sz w:val="44"/>
          <w:szCs w:val="44"/>
        </w:rPr>
      </w:pPr>
    </w:p>
    <w:p w14:paraId="71A0112F" w14:textId="77777777" w:rsidR="001547F6" w:rsidRPr="004837FE" w:rsidRDefault="001547F6" w:rsidP="001547F6">
      <w:pPr>
        <w:jc w:val="center"/>
      </w:pPr>
      <w:r>
        <w:rPr>
          <w:rFonts w:ascii="Verdana" w:hAnsi="Verdana"/>
          <w:b/>
          <w:color w:val="2D7C82"/>
          <w:sz w:val="36"/>
          <w:szCs w:val="44"/>
        </w:rPr>
        <w:t>November 2024</w:t>
      </w:r>
    </w:p>
    <w:p w14:paraId="71007E31" w14:textId="69955DC3" w:rsidR="005433A7" w:rsidRPr="000C2CF6" w:rsidRDefault="005433A7" w:rsidP="00956E1A">
      <w:pPr>
        <w:jc w:val="center"/>
        <w:rPr>
          <w:rFonts w:ascii="Verdana" w:hAnsi="Verdana"/>
          <w:b/>
          <w:color w:val="2D7C82"/>
          <w:sz w:val="44"/>
          <w:szCs w:val="44"/>
        </w:rPr>
      </w:pPr>
    </w:p>
    <w:p w14:paraId="3AF61157" w14:textId="77777777" w:rsidR="005433A7" w:rsidRPr="000C2CF6" w:rsidRDefault="001A5ABE" w:rsidP="005433A7">
      <w:pPr>
        <w:jc w:val="right"/>
        <w:rPr>
          <w:rFonts w:ascii="Verdana" w:hAnsi="Verdana"/>
          <w:b/>
          <w:color w:val="2D7C82"/>
        </w:rPr>
      </w:pPr>
      <w:r w:rsidRPr="000C2CF6">
        <w:rPr>
          <w:rFonts w:ascii="Verdana" w:hAnsi="Verdana"/>
          <w:noProof/>
          <w:color w:val="2B579A"/>
          <w:sz w:val="22"/>
          <w:szCs w:val="22"/>
          <w:shd w:val="clear" w:color="auto" w:fill="E6E6E6"/>
        </w:rPr>
        <w:drawing>
          <wp:anchor distT="0" distB="0" distL="114300" distR="114300" simplePos="0" relativeHeight="251658249" behindDoc="0" locked="0" layoutInCell="1" allowOverlap="1" wp14:anchorId="7366EFB8" wp14:editId="4F07637F">
            <wp:simplePos x="0" y="0"/>
            <wp:positionH relativeFrom="column">
              <wp:posOffset>3044190</wp:posOffset>
            </wp:positionH>
            <wp:positionV relativeFrom="paragraph">
              <wp:posOffset>226695</wp:posOffset>
            </wp:positionV>
            <wp:extent cx="647700" cy="731520"/>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_apple_transparent.png"/>
                    <pic:cNvPicPr/>
                  </pic:nvPicPr>
                  <pic:blipFill>
                    <a:blip r:embed="rId15">
                      <a:extLst>
                        <a:ext uri="{28A0092B-C50C-407E-A947-70E740481C1C}">
                          <a14:useLocalDpi xmlns:a14="http://schemas.microsoft.com/office/drawing/2010/main" val="0"/>
                        </a:ext>
                      </a:extLst>
                    </a:blip>
                    <a:stretch>
                      <a:fillRect/>
                    </a:stretch>
                  </pic:blipFill>
                  <pic:spPr>
                    <a:xfrm>
                      <a:off x="0" y="0"/>
                      <a:ext cx="647700" cy="731520"/>
                    </a:xfrm>
                    <a:prstGeom prst="rect">
                      <a:avLst/>
                    </a:prstGeom>
                  </pic:spPr>
                </pic:pic>
              </a:graphicData>
            </a:graphic>
            <wp14:sizeRelH relativeFrom="page">
              <wp14:pctWidth>0</wp14:pctWidth>
            </wp14:sizeRelH>
            <wp14:sizeRelV relativeFrom="page">
              <wp14:pctHeight>0</wp14:pctHeight>
            </wp14:sizeRelV>
          </wp:anchor>
        </w:drawing>
      </w:r>
    </w:p>
    <w:p w14:paraId="0D04140B" w14:textId="77777777" w:rsidR="00F2326E" w:rsidRPr="000C2CF6" w:rsidRDefault="00F2326E" w:rsidP="00F2326E">
      <w:pPr>
        <w:rPr>
          <w:rFonts w:ascii="Verdana" w:hAnsi="Verdana"/>
          <w:sz w:val="22"/>
          <w:szCs w:val="22"/>
        </w:rPr>
      </w:pPr>
    </w:p>
    <w:p w14:paraId="7081B0E0" w14:textId="77777777" w:rsidR="00F2326E" w:rsidRPr="000C2CF6" w:rsidRDefault="00F2326E" w:rsidP="4A0F6D8A">
      <w:pPr>
        <w:rPr>
          <w:rFonts w:ascii="Verdana" w:hAnsi="Verdana"/>
          <w:sz w:val="22"/>
          <w:szCs w:val="22"/>
        </w:rPr>
      </w:pPr>
    </w:p>
    <w:p w14:paraId="3A6B7B22" w14:textId="77777777" w:rsidR="00B51B2D" w:rsidRPr="000C2CF6" w:rsidRDefault="00B51B2D" w:rsidP="4A0F6D8A">
      <w:pPr>
        <w:spacing w:after="0"/>
        <w:rPr>
          <w:rFonts w:ascii="Verdana" w:hAnsi="Verdana"/>
          <w:sz w:val="22"/>
          <w:szCs w:val="22"/>
        </w:rPr>
        <w:sectPr w:rsidR="00B51B2D" w:rsidRPr="000C2CF6" w:rsidSect="00BA456E">
          <w:headerReference w:type="default" r:id="rId16"/>
          <w:footerReference w:type="default" r:id="rId17"/>
          <w:pgSz w:w="11906" w:h="16838"/>
          <w:pgMar w:top="1440" w:right="567" w:bottom="1440" w:left="709" w:header="709" w:footer="709" w:gutter="0"/>
          <w:cols w:space="708"/>
          <w:docGrid w:linePitch="360"/>
        </w:sectPr>
      </w:pPr>
    </w:p>
    <w:p w14:paraId="485FA7A2" w14:textId="77777777" w:rsidR="00FF1199" w:rsidRPr="000C2CF6" w:rsidRDefault="00FF1199" w:rsidP="00FF1199">
      <w:pPr>
        <w:rPr>
          <w:rFonts w:ascii="Verdana" w:hAnsi="Verdana"/>
          <w:b/>
          <w:vanish/>
          <w:sz w:val="32"/>
          <w:szCs w:val="32"/>
          <w:specVanish/>
        </w:rPr>
      </w:pPr>
      <w:r w:rsidRPr="000C2CF6">
        <w:rPr>
          <w:rFonts w:ascii="Verdana" w:hAnsi="Verdana"/>
          <w:b/>
          <w:color w:val="2D7C82"/>
          <w:sz w:val="32"/>
          <w:szCs w:val="32"/>
        </w:rPr>
        <w:lastRenderedPageBreak/>
        <w:t>|</w:t>
      </w:r>
      <w:r w:rsidRPr="000C2CF6">
        <w:rPr>
          <w:rFonts w:ascii="Verdana" w:hAnsi="Verdana"/>
          <w:b/>
          <w:sz w:val="32"/>
          <w:szCs w:val="32"/>
        </w:rPr>
        <w:t xml:space="preserve"> </w:t>
      </w:r>
    </w:p>
    <w:p w14:paraId="18AEDB5A" w14:textId="77777777" w:rsidR="00FF1199" w:rsidRPr="000C2CF6" w:rsidRDefault="00FF1199" w:rsidP="00FF1199">
      <w:pPr>
        <w:pStyle w:val="TOC1"/>
        <w:rPr>
          <w:rFonts w:ascii="Verdana" w:hAnsi="Verdana"/>
          <w:sz w:val="28"/>
          <w:szCs w:val="22"/>
        </w:rPr>
      </w:pPr>
      <w:r w:rsidRPr="000C2CF6">
        <w:rPr>
          <w:rFonts w:ascii="Verdana" w:hAnsi="Verdana"/>
          <w:sz w:val="28"/>
          <w:szCs w:val="22"/>
        </w:rPr>
        <w:t xml:space="preserve"> Version Control</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701"/>
        <w:gridCol w:w="1559"/>
        <w:gridCol w:w="4598"/>
      </w:tblGrid>
      <w:tr w:rsidR="00C911A0" w:rsidRPr="000C2CF6" w14:paraId="138F2351" w14:textId="77777777" w:rsidTr="136F3BEB">
        <w:trPr>
          <w:trHeight w:val="265"/>
        </w:trPr>
        <w:tc>
          <w:tcPr>
            <w:tcW w:w="1384" w:type="dxa"/>
            <w:shd w:val="clear" w:color="auto" w:fill="2D7C82"/>
          </w:tcPr>
          <w:p w14:paraId="0721DBF3" w14:textId="77777777" w:rsidR="00C911A0" w:rsidRPr="000C2CF6" w:rsidRDefault="00C911A0" w:rsidP="003B1CE3">
            <w:pPr>
              <w:rPr>
                <w:rFonts w:ascii="Verdana" w:hAnsi="Verdana" w:cstheme="minorHAnsi"/>
                <w:b/>
                <w:bCs/>
                <w:color w:val="FFFFFF" w:themeColor="background1"/>
                <w:sz w:val="22"/>
                <w:szCs w:val="22"/>
              </w:rPr>
            </w:pPr>
            <w:r w:rsidRPr="000C2CF6">
              <w:rPr>
                <w:rFonts w:ascii="Verdana" w:hAnsi="Verdana" w:cstheme="minorHAnsi"/>
                <w:b/>
                <w:bCs/>
                <w:color w:val="FFFFFF" w:themeColor="background1"/>
                <w:sz w:val="22"/>
                <w:szCs w:val="22"/>
              </w:rPr>
              <w:t>Version Number</w:t>
            </w:r>
          </w:p>
        </w:tc>
        <w:tc>
          <w:tcPr>
            <w:tcW w:w="1701" w:type="dxa"/>
            <w:shd w:val="clear" w:color="auto" w:fill="2D7C82"/>
          </w:tcPr>
          <w:p w14:paraId="38FF9AFF" w14:textId="77777777" w:rsidR="00C911A0" w:rsidRPr="000C2CF6" w:rsidRDefault="00C911A0" w:rsidP="003B1CE3">
            <w:pPr>
              <w:rPr>
                <w:rFonts w:ascii="Verdana" w:hAnsi="Verdana" w:cstheme="minorHAnsi"/>
                <w:b/>
                <w:bCs/>
                <w:color w:val="FFFFFF" w:themeColor="background1"/>
                <w:sz w:val="22"/>
                <w:szCs w:val="22"/>
              </w:rPr>
            </w:pPr>
            <w:r w:rsidRPr="000C2CF6">
              <w:rPr>
                <w:rFonts w:ascii="Verdana" w:hAnsi="Verdana" w:cstheme="minorHAnsi"/>
                <w:b/>
                <w:bCs/>
                <w:color w:val="FFFFFF" w:themeColor="background1"/>
                <w:sz w:val="22"/>
                <w:szCs w:val="22"/>
              </w:rPr>
              <w:t>Date</w:t>
            </w:r>
          </w:p>
        </w:tc>
        <w:tc>
          <w:tcPr>
            <w:tcW w:w="1559" w:type="dxa"/>
            <w:shd w:val="clear" w:color="auto" w:fill="2D7C82"/>
          </w:tcPr>
          <w:p w14:paraId="40E9F870" w14:textId="77777777" w:rsidR="00C911A0" w:rsidRPr="000C2CF6" w:rsidRDefault="00C911A0" w:rsidP="003B1CE3">
            <w:pPr>
              <w:rPr>
                <w:rFonts w:ascii="Verdana" w:hAnsi="Verdana" w:cstheme="minorHAnsi"/>
                <w:b/>
                <w:bCs/>
                <w:color w:val="FFFFFF" w:themeColor="background1"/>
                <w:sz w:val="22"/>
                <w:szCs w:val="22"/>
              </w:rPr>
            </w:pPr>
            <w:r w:rsidRPr="000C2CF6">
              <w:rPr>
                <w:rFonts w:ascii="Verdana" w:hAnsi="Verdana" w:cstheme="minorHAnsi"/>
                <w:b/>
                <w:bCs/>
                <w:color w:val="FFFFFF" w:themeColor="background1"/>
                <w:sz w:val="22"/>
                <w:szCs w:val="22"/>
              </w:rPr>
              <w:t>Reviewer</w:t>
            </w:r>
          </w:p>
        </w:tc>
        <w:tc>
          <w:tcPr>
            <w:tcW w:w="4598" w:type="dxa"/>
            <w:shd w:val="clear" w:color="auto" w:fill="2D7C82"/>
          </w:tcPr>
          <w:p w14:paraId="6AECA552" w14:textId="77777777" w:rsidR="00C911A0" w:rsidRPr="000C2CF6" w:rsidRDefault="00C911A0" w:rsidP="003B1CE3">
            <w:pPr>
              <w:rPr>
                <w:rFonts w:ascii="Verdana" w:hAnsi="Verdana" w:cstheme="minorHAnsi"/>
                <w:b/>
                <w:bCs/>
                <w:color w:val="FFFFFF" w:themeColor="background1"/>
                <w:sz w:val="22"/>
                <w:szCs w:val="22"/>
              </w:rPr>
            </w:pPr>
            <w:r w:rsidRPr="000C2CF6">
              <w:rPr>
                <w:rFonts w:ascii="Verdana" w:hAnsi="Verdana" w:cstheme="minorHAnsi"/>
                <w:b/>
                <w:bCs/>
                <w:color w:val="FFFFFF" w:themeColor="background1"/>
                <w:sz w:val="22"/>
                <w:szCs w:val="22"/>
              </w:rPr>
              <w:t>Change reference and summary</w:t>
            </w:r>
          </w:p>
        </w:tc>
      </w:tr>
      <w:tr w:rsidR="00C911A0" w:rsidRPr="00027099" w14:paraId="43DF2EDF" w14:textId="77777777" w:rsidTr="136F3BEB">
        <w:trPr>
          <w:trHeight w:val="250"/>
        </w:trPr>
        <w:tc>
          <w:tcPr>
            <w:tcW w:w="1384" w:type="dxa"/>
          </w:tcPr>
          <w:p w14:paraId="754A9CE2" w14:textId="77777777" w:rsidR="00C911A0" w:rsidRPr="00027099" w:rsidRDefault="00C911A0" w:rsidP="003B1CE3">
            <w:pPr>
              <w:rPr>
                <w:rFonts w:ascii="Verdana" w:hAnsi="Verdana" w:cstheme="minorHAnsi"/>
                <w:sz w:val="22"/>
                <w:szCs w:val="22"/>
              </w:rPr>
            </w:pPr>
            <w:r w:rsidRPr="00027099">
              <w:rPr>
                <w:rFonts w:ascii="Verdana" w:hAnsi="Verdana" w:cstheme="minorHAnsi"/>
                <w:sz w:val="22"/>
                <w:szCs w:val="22"/>
              </w:rPr>
              <w:t>1</w:t>
            </w:r>
          </w:p>
        </w:tc>
        <w:tc>
          <w:tcPr>
            <w:tcW w:w="1701" w:type="dxa"/>
          </w:tcPr>
          <w:p w14:paraId="4A718EB9" w14:textId="77777777" w:rsidR="00C911A0" w:rsidRPr="00027099" w:rsidRDefault="4AFFB17E" w:rsidP="2AA663A8">
            <w:pPr>
              <w:rPr>
                <w:rFonts w:ascii="Verdana" w:hAnsi="Verdana" w:cstheme="minorBidi"/>
                <w:sz w:val="22"/>
                <w:szCs w:val="22"/>
              </w:rPr>
            </w:pPr>
            <w:r w:rsidRPr="00027099">
              <w:rPr>
                <w:rFonts w:ascii="Verdana" w:hAnsi="Verdana" w:cstheme="minorBidi"/>
                <w:sz w:val="22"/>
                <w:szCs w:val="22"/>
              </w:rPr>
              <w:t>1</w:t>
            </w:r>
            <w:r w:rsidR="64EA706D" w:rsidRPr="00027099">
              <w:rPr>
                <w:rFonts w:ascii="Verdana" w:hAnsi="Verdana" w:cstheme="minorBidi"/>
                <w:sz w:val="22"/>
                <w:szCs w:val="22"/>
              </w:rPr>
              <w:t>9</w:t>
            </w:r>
            <w:r w:rsidRPr="00027099">
              <w:rPr>
                <w:rFonts w:ascii="Verdana" w:hAnsi="Verdana" w:cstheme="minorBidi"/>
                <w:sz w:val="22"/>
                <w:szCs w:val="22"/>
              </w:rPr>
              <w:t>/08/2024</w:t>
            </w:r>
          </w:p>
        </w:tc>
        <w:tc>
          <w:tcPr>
            <w:tcW w:w="1559" w:type="dxa"/>
          </w:tcPr>
          <w:p w14:paraId="017D3C88" w14:textId="77777777" w:rsidR="00C911A0" w:rsidRPr="00027099" w:rsidRDefault="00C911A0" w:rsidP="003B1CE3">
            <w:pPr>
              <w:rPr>
                <w:rFonts w:ascii="Verdana" w:hAnsi="Verdana" w:cstheme="minorHAnsi"/>
                <w:sz w:val="22"/>
                <w:szCs w:val="22"/>
              </w:rPr>
            </w:pPr>
          </w:p>
        </w:tc>
        <w:tc>
          <w:tcPr>
            <w:tcW w:w="4598" w:type="dxa"/>
          </w:tcPr>
          <w:p w14:paraId="3C87E168" w14:textId="77777777" w:rsidR="00C911A0" w:rsidRPr="00027099" w:rsidRDefault="00C911A0" w:rsidP="003B1CE3">
            <w:pPr>
              <w:rPr>
                <w:rFonts w:ascii="Verdana" w:hAnsi="Verdana" w:cstheme="minorHAnsi"/>
                <w:sz w:val="22"/>
                <w:szCs w:val="22"/>
              </w:rPr>
            </w:pPr>
            <w:r w:rsidRPr="00027099">
              <w:rPr>
                <w:rFonts w:ascii="Verdana" w:hAnsi="Verdana" w:cstheme="minorHAnsi"/>
                <w:sz w:val="22"/>
                <w:szCs w:val="22"/>
              </w:rPr>
              <w:t>Initial draft</w:t>
            </w:r>
            <w:r w:rsidR="00B138F2" w:rsidRPr="00027099">
              <w:rPr>
                <w:rFonts w:ascii="Verdana" w:hAnsi="Verdana" w:cstheme="minorHAnsi"/>
                <w:sz w:val="22"/>
                <w:szCs w:val="22"/>
              </w:rPr>
              <w:t xml:space="preserve"> submitted</w:t>
            </w:r>
          </w:p>
        </w:tc>
      </w:tr>
      <w:tr w:rsidR="00C911A0" w:rsidRPr="00027099" w14:paraId="3CEB96DB" w14:textId="77777777" w:rsidTr="136F3BEB">
        <w:trPr>
          <w:trHeight w:val="529"/>
        </w:trPr>
        <w:tc>
          <w:tcPr>
            <w:tcW w:w="1384" w:type="dxa"/>
            <w:vAlign w:val="center"/>
          </w:tcPr>
          <w:p w14:paraId="6415E904" w14:textId="77777777" w:rsidR="00C911A0" w:rsidRPr="00027099" w:rsidRDefault="006C4FA0" w:rsidP="003B1CE3">
            <w:pPr>
              <w:rPr>
                <w:rFonts w:ascii="Verdana" w:hAnsi="Verdana" w:cstheme="minorHAnsi"/>
                <w:sz w:val="22"/>
                <w:szCs w:val="22"/>
              </w:rPr>
            </w:pPr>
            <w:r w:rsidRPr="00027099">
              <w:rPr>
                <w:rFonts w:ascii="Verdana" w:hAnsi="Verdana" w:cstheme="minorHAnsi"/>
                <w:sz w:val="22"/>
                <w:szCs w:val="22"/>
              </w:rPr>
              <w:t>2</w:t>
            </w:r>
          </w:p>
        </w:tc>
        <w:tc>
          <w:tcPr>
            <w:tcW w:w="1701" w:type="dxa"/>
            <w:vAlign w:val="center"/>
          </w:tcPr>
          <w:p w14:paraId="37992DA6" w14:textId="77777777" w:rsidR="00C911A0" w:rsidRPr="00027099" w:rsidRDefault="12B7AD05" w:rsidP="003B1CE3">
            <w:pPr>
              <w:rPr>
                <w:rFonts w:ascii="Verdana" w:hAnsi="Verdana" w:cstheme="minorBidi"/>
                <w:sz w:val="22"/>
                <w:szCs w:val="22"/>
              </w:rPr>
            </w:pPr>
            <w:r w:rsidRPr="49636075">
              <w:rPr>
                <w:rFonts w:ascii="Verdana" w:hAnsi="Verdana" w:cstheme="minorBidi"/>
                <w:sz w:val="22"/>
                <w:szCs w:val="22"/>
              </w:rPr>
              <w:t>1</w:t>
            </w:r>
            <w:r w:rsidR="0004542B">
              <w:rPr>
                <w:rFonts w:ascii="Verdana" w:hAnsi="Verdana" w:cstheme="minorBidi"/>
                <w:sz w:val="22"/>
                <w:szCs w:val="22"/>
              </w:rPr>
              <w:t>7</w:t>
            </w:r>
            <w:r w:rsidRPr="49636075">
              <w:rPr>
                <w:rFonts w:ascii="Verdana" w:hAnsi="Verdana" w:cstheme="minorBidi"/>
                <w:sz w:val="22"/>
                <w:szCs w:val="22"/>
              </w:rPr>
              <w:t>/09/2024</w:t>
            </w:r>
          </w:p>
        </w:tc>
        <w:tc>
          <w:tcPr>
            <w:tcW w:w="1559" w:type="dxa"/>
            <w:vAlign w:val="center"/>
          </w:tcPr>
          <w:p w14:paraId="0A790210" w14:textId="77777777" w:rsidR="00C911A0" w:rsidRPr="00027099" w:rsidRDefault="00C911A0" w:rsidP="003B1CE3">
            <w:pPr>
              <w:rPr>
                <w:rFonts w:ascii="Verdana" w:hAnsi="Verdana" w:cstheme="minorHAnsi"/>
                <w:sz w:val="22"/>
                <w:szCs w:val="22"/>
              </w:rPr>
            </w:pPr>
          </w:p>
        </w:tc>
        <w:tc>
          <w:tcPr>
            <w:tcW w:w="4598" w:type="dxa"/>
          </w:tcPr>
          <w:p w14:paraId="5F50E199" w14:textId="77777777" w:rsidR="00C911A0" w:rsidRPr="00027099" w:rsidRDefault="12B7AD05" w:rsidP="003B1CE3">
            <w:pPr>
              <w:rPr>
                <w:rFonts w:ascii="Verdana" w:hAnsi="Verdana" w:cstheme="minorBidi"/>
                <w:sz w:val="22"/>
                <w:szCs w:val="22"/>
              </w:rPr>
            </w:pPr>
            <w:r w:rsidRPr="49636075">
              <w:rPr>
                <w:rFonts w:ascii="Verdana" w:hAnsi="Verdana" w:cstheme="minorBidi"/>
                <w:sz w:val="22"/>
                <w:szCs w:val="22"/>
              </w:rPr>
              <w:t>Final Draft complete</w:t>
            </w:r>
            <w:r w:rsidR="009A2B7C">
              <w:rPr>
                <w:rFonts w:ascii="Verdana" w:hAnsi="Verdana" w:cstheme="minorBidi"/>
                <w:sz w:val="22"/>
                <w:szCs w:val="22"/>
              </w:rPr>
              <w:t xml:space="preserve"> for SMT input </w:t>
            </w:r>
          </w:p>
        </w:tc>
      </w:tr>
      <w:tr w:rsidR="009A2B7C" w:rsidRPr="00027099" w14:paraId="3856E7B7" w14:textId="77777777" w:rsidTr="136F3BEB">
        <w:trPr>
          <w:trHeight w:val="529"/>
        </w:trPr>
        <w:tc>
          <w:tcPr>
            <w:tcW w:w="1384" w:type="dxa"/>
            <w:vAlign w:val="center"/>
          </w:tcPr>
          <w:p w14:paraId="35071518" w14:textId="77777777" w:rsidR="009A2B7C" w:rsidRPr="00027099" w:rsidRDefault="009A2B7C" w:rsidP="003B1CE3">
            <w:pPr>
              <w:rPr>
                <w:rFonts w:ascii="Verdana" w:hAnsi="Verdana" w:cstheme="minorHAnsi"/>
                <w:sz w:val="22"/>
                <w:szCs w:val="22"/>
              </w:rPr>
            </w:pPr>
            <w:r>
              <w:rPr>
                <w:rFonts w:ascii="Verdana" w:hAnsi="Verdana" w:cstheme="minorHAnsi"/>
                <w:sz w:val="22"/>
                <w:szCs w:val="22"/>
              </w:rPr>
              <w:t>3</w:t>
            </w:r>
          </w:p>
        </w:tc>
        <w:tc>
          <w:tcPr>
            <w:tcW w:w="1701" w:type="dxa"/>
            <w:vAlign w:val="center"/>
          </w:tcPr>
          <w:p w14:paraId="6BC102C6" w14:textId="77777777" w:rsidR="009A2B7C" w:rsidRPr="49636075" w:rsidRDefault="009A2B7C" w:rsidP="003B1CE3">
            <w:pPr>
              <w:rPr>
                <w:rFonts w:ascii="Verdana" w:hAnsi="Verdana" w:cstheme="minorBidi"/>
                <w:sz w:val="22"/>
                <w:szCs w:val="22"/>
              </w:rPr>
            </w:pPr>
            <w:r>
              <w:rPr>
                <w:rFonts w:ascii="Verdana" w:hAnsi="Verdana" w:cstheme="minorBidi"/>
                <w:sz w:val="22"/>
                <w:szCs w:val="22"/>
              </w:rPr>
              <w:t>04/11/2024</w:t>
            </w:r>
          </w:p>
        </w:tc>
        <w:tc>
          <w:tcPr>
            <w:tcW w:w="1559" w:type="dxa"/>
            <w:vAlign w:val="center"/>
          </w:tcPr>
          <w:p w14:paraId="66944397" w14:textId="77777777" w:rsidR="009A2B7C" w:rsidRPr="00027099" w:rsidRDefault="009A2B7C" w:rsidP="003B1CE3">
            <w:pPr>
              <w:rPr>
                <w:rFonts w:ascii="Verdana" w:hAnsi="Verdana" w:cstheme="minorHAnsi"/>
                <w:sz w:val="22"/>
                <w:szCs w:val="22"/>
              </w:rPr>
            </w:pPr>
          </w:p>
        </w:tc>
        <w:tc>
          <w:tcPr>
            <w:tcW w:w="4598" w:type="dxa"/>
          </w:tcPr>
          <w:p w14:paraId="60F1D3CA" w14:textId="77777777" w:rsidR="009A2B7C" w:rsidRPr="49636075" w:rsidRDefault="009A2B7C" w:rsidP="003B1CE3">
            <w:pPr>
              <w:rPr>
                <w:rFonts w:ascii="Verdana" w:hAnsi="Verdana" w:cstheme="minorBidi"/>
                <w:sz w:val="22"/>
                <w:szCs w:val="22"/>
              </w:rPr>
            </w:pPr>
            <w:r>
              <w:rPr>
                <w:rFonts w:ascii="Verdana" w:hAnsi="Verdana" w:cstheme="minorBidi"/>
                <w:sz w:val="22"/>
                <w:szCs w:val="22"/>
              </w:rPr>
              <w:t xml:space="preserve">Final Draft with SMT Input Included </w:t>
            </w:r>
          </w:p>
        </w:tc>
      </w:tr>
      <w:tr w:rsidR="002E081D" w:rsidRPr="00027099" w14:paraId="5D9026F4" w14:textId="77777777" w:rsidTr="136F3BEB">
        <w:trPr>
          <w:trHeight w:val="529"/>
        </w:trPr>
        <w:tc>
          <w:tcPr>
            <w:tcW w:w="1384" w:type="dxa"/>
            <w:vAlign w:val="center"/>
          </w:tcPr>
          <w:p w14:paraId="79043091" w14:textId="77777777" w:rsidR="002E081D" w:rsidRDefault="002E081D" w:rsidP="003B1CE3">
            <w:pPr>
              <w:rPr>
                <w:rFonts w:ascii="Verdana" w:hAnsi="Verdana" w:cstheme="minorHAnsi"/>
                <w:sz w:val="22"/>
                <w:szCs w:val="22"/>
              </w:rPr>
            </w:pPr>
            <w:r>
              <w:rPr>
                <w:rFonts w:ascii="Verdana" w:hAnsi="Verdana" w:cstheme="minorHAnsi"/>
                <w:sz w:val="22"/>
                <w:szCs w:val="22"/>
              </w:rPr>
              <w:t>4</w:t>
            </w:r>
          </w:p>
        </w:tc>
        <w:tc>
          <w:tcPr>
            <w:tcW w:w="1701" w:type="dxa"/>
            <w:vAlign w:val="center"/>
          </w:tcPr>
          <w:p w14:paraId="30C829C1" w14:textId="77777777" w:rsidR="002E081D" w:rsidRDefault="002E081D" w:rsidP="003B1CE3">
            <w:pPr>
              <w:rPr>
                <w:rFonts w:ascii="Verdana" w:hAnsi="Verdana" w:cstheme="minorBidi"/>
                <w:sz w:val="22"/>
                <w:szCs w:val="22"/>
              </w:rPr>
            </w:pPr>
            <w:r>
              <w:rPr>
                <w:rFonts w:ascii="Verdana" w:hAnsi="Verdana" w:cstheme="minorBidi"/>
                <w:sz w:val="22"/>
                <w:szCs w:val="22"/>
              </w:rPr>
              <w:t>11/11/2024</w:t>
            </w:r>
          </w:p>
        </w:tc>
        <w:tc>
          <w:tcPr>
            <w:tcW w:w="1559" w:type="dxa"/>
            <w:vAlign w:val="center"/>
          </w:tcPr>
          <w:p w14:paraId="09F6AD5B" w14:textId="77777777" w:rsidR="002E081D" w:rsidRPr="00027099" w:rsidRDefault="002E081D" w:rsidP="003B1CE3">
            <w:pPr>
              <w:rPr>
                <w:rFonts w:ascii="Verdana" w:hAnsi="Verdana" w:cstheme="minorHAnsi"/>
                <w:sz w:val="22"/>
                <w:szCs w:val="22"/>
              </w:rPr>
            </w:pPr>
          </w:p>
        </w:tc>
        <w:tc>
          <w:tcPr>
            <w:tcW w:w="4598" w:type="dxa"/>
          </w:tcPr>
          <w:p w14:paraId="5765202C" w14:textId="77777777" w:rsidR="002E081D" w:rsidRDefault="002E081D" w:rsidP="003B1CE3">
            <w:pPr>
              <w:rPr>
                <w:rFonts w:ascii="Verdana" w:hAnsi="Verdana" w:cstheme="minorBidi"/>
                <w:sz w:val="22"/>
                <w:szCs w:val="22"/>
              </w:rPr>
            </w:pPr>
            <w:r>
              <w:rPr>
                <w:rFonts w:ascii="Verdana" w:hAnsi="Verdana" w:cstheme="minorBidi"/>
                <w:sz w:val="22"/>
                <w:szCs w:val="22"/>
              </w:rPr>
              <w:t>External Version Created</w:t>
            </w:r>
          </w:p>
        </w:tc>
      </w:tr>
      <w:tr w:rsidR="136F3BEB" w14:paraId="28298701" w14:textId="77777777" w:rsidTr="136F3BEB">
        <w:trPr>
          <w:trHeight w:val="300"/>
        </w:trPr>
        <w:tc>
          <w:tcPr>
            <w:tcW w:w="1384" w:type="dxa"/>
            <w:vAlign w:val="center"/>
          </w:tcPr>
          <w:p w14:paraId="7E3338DA" w14:textId="77777777" w:rsidR="3057E1B8" w:rsidRDefault="3057E1B8" w:rsidP="136F3BEB">
            <w:pPr>
              <w:rPr>
                <w:rFonts w:ascii="Verdana" w:hAnsi="Verdana" w:cstheme="minorBidi"/>
                <w:sz w:val="22"/>
                <w:szCs w:val="22"/>
              </w:rPr>
            </w:pPr>
            <w:r w:rsidRPr="136F3BEB">
              <w:rPr>
                <w:rFonts w:ascii="Verdana" w:hAnsi="Verdana" w:cstheme="minorBidi"/>
                <w:sz w:val="22"/>
                <w:szCs w:val="22"/>
              </w:rPr>
              <w:t>5</w:t>
            </w:r>
          </w:p>
        </w:tc>
        <w:tc>
          <w:tcPr>
            <w:tcW w:w="1701" w:type="dxa"/>
            <w:vAlign w:val="center"/>
          </w:tcPr>
          <w:p w14:paraId="0E18F7B6" w14:textId="77777777" w:rsidR="3057E1B8" w:rsidRDefault="3057E1B8" w:rsidP="136F3BEB">
            <w:pPr>
              <w:rPr>
                <w:rFonts w:ascii="Verdana" w:hAnsi="Verdana" w:cstheme="minorBidi"/>
                <w:sz w:val="22"/>
                <w:szCs w:val="22"/>
              </w:rPr>
            </w:pPr>
            <w:r w:rsidRPr="136F3BEB">
              <w:rPr>
                <w:rFonts w:ascii="Verdana" w:hAnsi="Verdana" w:cstheme="minorBidi"/>
                <w:sz w:val="22"/>
                <w:szCs w:val="22"/>
              </w:rPr>
              <w:t>18/11/2024</w:t>
            </w:r>
          </w:p>
        </w:tc>
        <w:tc>
          <w:tcPr>
            <w:tcW w:w="1559" w:type="dxa"/>
            <w:vAlign w:val="center"/>
          </w:tcPr>
          <w:p w14:paraId="6EE3C5F9" w14:textId="77777777" w:rsidR="136F3BEB" w:rsidRDefault="136F3BEB" w:rsidP="136F3BEB">
            <w:pPr>
              <w:rPr>
                <w:rFonts w:ascii="Verdana" w:hAnsi="Verdana" w:cstheme="minorBidi"/>
                <w:sz w:val="22"/>
                <w:szCs w:val="22"/>
              </w:rPr>
            </w:pPr>
          </w:p>
        </w:tc>
        <w:tc>
          <w:tcPr>
            <w:tcW w:w="4598" w:type="dxa"/>
          </w:tcPr>
          <w:p w14:paraId="332EDEE3" w14:textId="77777777" w:rsidR="3057E1B8" w:rsidRDefault="3057E1B8" w:rsidP="136F3BEB">
            <w:pPr>
              <w:rPr>
                <w:rFonts w:ascii="Verdana" w:hAnsi="Verdana" w:cstheme="minorBidi"/>
                <w:sz w:val="22"/>
                <w:szCs w:val="22"/>
              </w:rPr>
            </w:pPr>
            <w:r w:rsidRPr="136F3BEB">
              <w:rPr>
                <w:rFonts w:ascii="Verdana" w:hAnsi="Verdana" w:cstheme="minorBidi"/>
                <w:sz w:val="22"/>
                <w:szCs w:val="22"/>
              </w:rPr>
              <w:t xml:space="preserve">External Version Edited and Finalised </w:t>
            </w:r>
          </w:p>
        </w:tc>
      </w:tr>
    </w:tbl>
    <w:p w14:paraId="5C2CF15A" w14:textId="77777777" w:rsidR="00FF1199" w:rsidRPr="00027099" w:rsidRDefault="00FF1199">
      <w:pPr>
        <w:spacing w:before="0" w:after="200"/>
        <w:rPr>
          <w:rFonts w:ascii="Verdana" w:hAnsi="Verdana"/>
          <w:b/>
          <w:color w:val="2D7C82"/>
          <w:sz w:val="32"/>
          <w:szCs w:val="32"/>
        </w:rPr>
      </w:pPr>
      <w:r w:rsidRPr="00027099">
        <w:rPr>
          <w:rFonts w:ascii="Verdana" w:hAnsi="Verdana"/>
          <w:b/>
          <w:color w:val="2D7C82"/>
          <w:sz w:val="32"/>
          <w:szCs w:val="32"/>
        </w:rPr>
        <w:br w:type="page"/>
      </w:r>
    </w:p>
    <w:p w14:paraId="4333E82E" w14:textId="77777777" w:rsidR="00302727" w:rsidRPr="00027099" w:rsidRDefault="00302727" w:rsidP="00302727">
      <w:pPr>
        <w:rPr>
          <w:rFonts w:ascii="Verdana" w:hAnsi="Verdana"/>
          <w:b/>
          <w:vanish/>
          <w:sz w:val="32"/>
          <w:szCs w:val="32"/>
          <w:specVanish/>
        </w:rPr>
      </w:pPr>
      <w:r w:rsidRPr="00027099">
        <w:rPr>
          <w:rFonts w:ascii="Verdana" w:hAnsi="Verdana"/>
          <w:b/>
          <w:color w:val="2D7C82"/>
          <w:sz w:val="32"/>
          <w:szCs w:val="32"/>
        </w:rPr>
        <w:lastRenderedPageBreak/>
        <w:t>|</w:t>
      </w:r>
      <w:r w:rsidRPr="00027099">
        <w:rPr>
          <w:rFonts w:ascii="Verdana" w:hAnsi="Verdana"/>
          <w:b/>
          <w:sz w:val="32"/>
          <w:szCs w:val="32"/>
        </w:rPr>
        <w:t xml:space="preserve"> </w:t>
      </w:r>
    </w:p>
    <w:p w14:paraId="395F086D" w14:textId="77777777" w:rsidR="00302727" w:rsidRPr="00027099" w:rsidRDefault="0D6E8E50" w:rsidP="00302727">
      <w:pPr>
        <w:pStyle w:val="TOC1"/>
        <w:rPr>
          <w:rFonts w:ascii="Verdana" w:hAnsi="Verdana"/>
          <w:sz w:val="28"/>
          <w:szCs w:val="28"/>
        </w:rPr>
      </w:pPr>
      <w:r w:rsidRPr="7FF55879">
        <w:rPr>
          <w:rFonts w:ascii="Verdana" w:hAnsi="Verdana"/>
          <w:sz w:val="28"/>
          <w:szCs w:val="28"/>
        </w:rPr>
        <w:t xml:space="preserve"> Contents</w:t>
      </w:r>
    </w:p>
    <w:p w14:paraId="0DD2FDAA" w14:textId="77777777" w:rsidR="00356008" w:rsidRPr="006370CB" w:rsidRDefault="00FB0E15" w:rsidP="136F3BEB">
      <w:pPr>
        <w:pStyle w:val="TOC1"/>
        <w:tabs>
          <w:tab w:val="right" w:leader="dot" w:pos="9015"/>
        </w:tabs>
        <w:rPr>
          <w:rFonts w:ascii="Verdana" w:hAnsi="Verdana" w:cstheme="minorBidi"/>
          <w:b w:val="0"/>
          <w:noProof/>
          <w:kern w:val="2"/>
          <w:sz w:val="28"/>
          <w:szCs w:val="28"/>
          <w14:ligatures w14:val="standardContextual"/>
        </w:rPr>
      </w:pPr>
      <w:r>
        <w:fldChar w:fldCharType="begin"/>
      </w:r>
      <w:r w:rsidR="49636075">
        <w:instrText>TOC \o "1-6" \z \u \h</w:instrText>
      </w:r>
      <w:r>
        <w:fldChar w:fldCharType="separate"/>
      </w:r>
      <w:hyperlink w:anchor="_Toc1879378997">
        <w:r w:rsidR="136F3BEB" w:rsidRPr="136F3BEB">
          <w:rPr>
            <w:rStyle w:val="Hyperlink"/>
          </w:rPr>
          <w:t>1.Purpose of this Document</w:t>
        </w:r>
        <w:r w:rsidR="49636075">
          <w:tab/>
        </w:r>
        <w:r w:rsidR="49636075">
          <w:fldChar w:fldCharType="begin"/>
        </w:r>
        <w:r w:rsidR="49636075">
          <w:instrText>PAGEREF _Toc1879378997 \h</w:instrText>
        </w:r>
        <w:r w:rsidR="49636075">
          <w:fldChar w:fldCharType="separate"/>
        </w:r>
        <w:r w:rsidR="136F3BEB" w:rsidRPr="136F3BEB">
          <w:rPr>
            <w:rStyle w:val="Hyperlink"/>
          </w:rPr>
          <w:t>2</w:t>
        </w:r>
        <w:r w:rsidR="49636075">
          <w:fldChar w:fldCharType="end"/>
        </w:r>
      </w:hyperlink>
    </w:p>
    <w:p w14:paraId="725A21D8" w14:textId="77777777" w:rsidR="00356008" w:rsidRPr="006370CB" w:rsidRDefault="136F3BEB" w:rsidP="136F3BEB">
      <w:pPr>
        <w:pStyle w:val="TOC1"/>
        <w:tabs>
          <w:tab w:val="right" w:leader="dot" w:pos="9015"/>
        </w:tabs>
        <w:rPr>
          <w:rFonts w:ascii="Verdana" w:hAnsi="Verdana" w:cstheme="minorBidi"/>
          <w:noProof/>
          <w:kern w:val="2"/>
          <w14:ligatures w14:val="standardContextual"/>
        </w:rPr>
      </w:pPr>
      <w:hyperlink w:anchor="_Toc1381486849">
        <w:r w:rsidRPr="136F3BEB">
          <w:rPr>
            <w:rStyle w:val="Hyperlink"/>
          </w:rPr>
          <w:t>2.Introduction</w:t>
        </w:r>
        <w:r w:rsidR="00FB0E15">
          <w:tab/>
        </w:r>
        <w:r w:rsidR="00FB0E15">
          <w:fldChar w:fldCharType="begin"/>
        </w:r>
        <w:r w:rsidR="00FB0E15">
          <w:instrText>PAGEREF _Toc1381486849 \h</w:instrText>
        </w:r>
        <w:r w:rsidR="00FB0E15">
          <w:fldChar w:fldCharType="separate"/>
        </w:r>
        <w:r w:rsidRPr="136F3BEB">
          <w:rPr>
            <w:rStyle w:val="Hyperlink"/>
          </w:rPr>
          <w:t>2</w:t>
        </w:r>
        <w:r w:rsidR="00FB0E15">
          <w:fldChar w:fldCharType="end"/>
        </w:r>
      </w:hyperlink>
    </w:p>
    <w:p w14:paraId="06D1596D" w14:textId="77777777" w:rsidR="00356008" w:rsidRPr="006370CB" w:rsidRDefault="136F3BEB" w:rsidP="136F3BEB">
      <w:pPr>
        <w:pStyle w:val="TOC2"/>
        <w:tabs>
          <w:tab w:val="right" w:leader="dot" w:pos="9015"/>
        </w:tabs>
        <w:rPr>
          <w:rFonts w:ascii="Verdana" w:hAnsi="Verdana" w:cstheme="minorBidi"/>
          <w:noProof/>
          <w:kern w:val="2"/>
          <w14:ligatures w14:val="standardContextual"/>
        </w:rPr>
      </w:pPr>
      <w:hyperlink w:anchor="_Toc523101983">
        <w:r w:rsidRPr="136F3BEB">
          <w:rPr>
            <w:rStyle w:val="Hyperlink"/>
          </w:rPr>
          <w:t>2.1 National Context</w:t>
        </w:r>
        <w:r w:rsidR="00FB0E15">
          <w:tab/>
        </w:r>
        <w:r w:rsidR="00FB0E15">
          <w:fldChar w:fldCharType="begin"/>
        </w:r>
        <w:r w:rsidR="00FB0E15">
          <w:instrText>PAGEREF _Toc523101983 \h</w:instrText>
        </w:r>
        <w:r w:rsidR="00FB0E15">
          <w:fldChar w:fldCharType="separate"/>
        </w:r>
        <w:r w:rsidRPr="136F3BEB">
          <w:rPr>
            <w:rStyle w:val="Hyperlink"/>
          </w:rPr>
          <w:t>2</w:t>
        </w:r>
        <w:r w:rsidR="00FB0E15">
          <w:fldChar w:fldCharType="end"/>
        </w:r>
      </w:hyperlink>
    </w:p>
    <w:p w14:paraId="28606B1D" w14:textId="77777777" w:rsidR="00356008" w:rsidRPr="006370CB" w:rsidRDefault="136F3BEB" w:rsidP="136F3BEB">
      <w:pPr>
        <w:pStyle w:val="TOC2"/>
        <w:tabs>
          <w:tab w:val="right" w:leader="dot" w:pos="9015"/>
        </w:tabs>
        <w:rPr>
          <w:rFonts w:ascii="Verdana" w:hAnsi="Verdana" w:cstheme="minorBidi"/>
          <w:noProof/>
          <w:kern w:val="2"/>
          <w14:ligatures w14:val="standardContextual"/>
        </w:rPr>
      </w:pPr>
      <w:hyperlink w:anchor="_Toc1355041258">
        <w:r w:rsidRPr="136F3BEB">
          <w:rPr>
            <w:rStyle w:val="Hyperlink"/>
          </w:rPr>
          <w:t>2.1.2 Social trends and changes in sexual health attitudes and behaviours</w:t>
        </w:r>
        <w:r w:rsidR="00FB0E15">
          <w:tab/>
        </w:r>
        <w:r w:rsidR="00FB0E15">
          <w:fldChar w:fldCharType="begin"/>
        </w:r>
        <w:r w:rsidR="00FB0E15">
          <w:instrText>PAGEREF _Toc1355041258 \h</w:instrText>
        </w:r>
        <w:r w:rsidR="00FB0E15">
          <w:fldChar w:fldCharType="separate"/>
        </w:r>
        <w:r w:rsidRPr="136F3BEB">
          <w:rPr>
            <w:rStyle w:val="Hyperlink"/>
          </w:rPr>
          <w:t>2</w:t>
        </w:r>
        <w:r w:rsidR="00FB0E15">
          <w:fldChar w:fldCharType="end"/>
        </w:r>
      </w:hyperlink>
    </w:p>
    <w:p w14:paraId="15F9FA13" w14:textId="77777777" w:rsidR="00356008" w:rsidRPr="006370CB" w:rsidRDefault="136F3BEB" w:rsidP="136F3BEB">
      <w:pPr>
        <w:pStyle w:val="TOC2"/>
        <w:tabs>
          <w:tab w:val="right" w:leader="dot" w:pos="9015"/>
        </w:tabs>
        <w:rPr>
          <w:rFonts w:ascii="Verdana" w:hAnsi="Verdana" w:cstheme="minorBidi"/>
          <w:noProof/>
          <w:kern w:val="2"/>
          <w14:ligatures w14:val="standardContextual"/>
        </w:rPr>
      </w:pPr>
      <w:hyperlink w:anchor="_Toc2106312738">
        <w:r w:rsidRPr="136F3BEB">
          <w:rPr>
            <w:rStyle w:val="Hyperlink"/>
          </w:rPr>
          <w:t>2.1.3 The HIV Action Plan</w:t>
        </w:r>
        <w:r w:rsidR="00FB0E15">
          <w:tab/>
        </w:r>
        <w:r w:rsidR="00FB0E15">
          <w:fldChar w:fldCharType="begin"/>
        </w:r>
        <w:r w:rsidR="00FB0E15">
          <w:instrText>PAGEREF _Toc2106312738 \h</w:instrText>
        </w:r>
        <w:r w:rsidR="00FB0E15">
          <w:fldChar w:fldCharType="separate"/>
        </w:r>
        <w:r w:rsidRPr="136F3BEB">
          <w:rPr>
            <w:rStyle w:val="Hyperlink"/>
          </w:rPr>
          <w:t>2</w:t>
        </w:r>
        <w:r w:rsidR="00FB0E15">
          <w:fldChar w:fldCharType="end"/>
        </w:r>
      </w:hyperlink>
    </w:p>
    <w:p w14:paraId="31FB69C5" w14:textId="77777777" w:rsidR="00356008" w:rsidRPr="006370CB" w:rsidRDefault="136F3BEB" w:rsidP="136F3BEB">
      <w:pPr>
        <w:pStyle w:val="TOC2"/>
        <w:tabs>
          <w:tab w:val="right" w:leader="dot" w:pos="9015"/>
        </w:tabs>
        <w:rPr>
          <w:rFonts w:ascii="Verdana" w:hAnsi="Verdana" w:cstheme="minorBidi"/>
          <w:noProof/>
          <w:kern w:val="2"/>
          <w14:ligatures w14:val="standardContextual"/>
        </w:rPr>
      </w:pPr>
      <w:hyperlink w:anchor="_Toc2004124074">
        <w:r w:rsidRPr="136F3BEB">
          <w:rPr>
            <w:rStyle w:val="Hyperlink"/>
          </w:rPr>
          <w:t>2.1.4 The Women’s Health Strategy</w:t>
        </w:r>
        <w:r w:rsidR="00FB0E15">
          <w:tab/>
        </w:r>
        <w:r w:rsidR="00FB0E15">
          <w:fldChar w:fldCharType="begin"/>
        </w:r>
        <w:r w:rsidR="00FB0E15">
          <w:instrText>PAGEREF _Toc2004124074 \h</w:instrText>
        </w:r>
        <w:r w:rsidR="00FB0E15">
          <w:fldChar w:fldCharType="separate"/>
        </w:r>
        <w:r w:rsidRPr="136F3BEB">
          <w:rPr>
            <w:rStyle w:val="Hyperlink"/>
          </w:rPr>
          <w:t>2</w:t>
        </w:r>
        <w:r w:rsidR="00FB0E15">
          <w:fldChar w:fldCharType="end"/>
        </w:r>
      </w:hyperlink>
    </w:p>
    <w:p w14:paraId="15156D41" w14:textId="77777777" w:rsidR="00356008" w:rsidRPr="006370CB" w:rsidRDefault="136F3BEB" w:rsidP="136F3BEB">
      <w:pPr>
        <w:pStyle w:val="TOC2"/>
        <w:tabs>
          <w:tab w:val="right" w:leader="dot" w:pos="9015"/>
        </w:tabs>
        <w:rPr>
          <w:rFonts w:ascii="Verdana" w:hAnsi="Verdana" w:cstheme="minorBidi"/>
          <w:noProof/>
          <w:kern w:val="2"/>
          <w14:ligatures w14:val="standardContextual"/>
        </w:rPr>
      </w:pPr>
      <w:hyperlink w:anchor="_Toc1234351804">
        <w:r w:rsidRPr="136F3BEB">
          <w:rPr>
            <w:rStyle w:val="Hyperlink"/>
          </w:rPr>
          <w:t>2.1.5 Relationships and Sex Education (RSE) in Schools</w:t>
        </w:r>
        <w:r w:rsidR="00FB0E15">
          <w:tab/>
        </w:r>
        <w:r w:rsidR="00FB0E15">
          <w:fldChar w:fldCharType="begin"/>
        </w:r>
        <w:r w:rsidR="00FB0E15">
          <w:instrText>PAGEREF _Toc1234351804 \h</w:instrText>
        </w:r>
        <w:r w:rsidR="00FB0E15">
          <w:fldChar w:fldCharType="separate"/>
        </w:r>
        <w:r w:rsidRPr="136F3BEB">
          <w:rPr>
            <w:rStyle w:val="Hyperlink"/>
          </w:rPr>
          <w:t>2</w:t>
        </w:r>
        <w:r w:rsidR="00FB0E15">
          <w:fldChar w:fldCharType="end"/>
        </w:r>
      </w:hyperlink>
    </w:p>
    <w:p w14:paraId="720D2369" w14:textId="77777777" w:rsidR="00356008" w:rsidRPr="006370CB" w:rsidRDefault="136F3BEB" w:rsidP="136F3BEB">
      <w:pPr>
        <w:pStyle w:val="TOC2"/>
        <w:tabs>
          <w:tab w:val="right" w:leader="dot" w:pos="9015"/>
        </w:tabs>
        <w:rPr>
          <w:rFonts w:ascii="Verdana" w:hAnsi="Verdana" w:cstheme="minorBidi"/>
          <w:noProof/>
          <w:kern w:val="2"/>
          <w14:ligatures w14:val="standardContextual"/>
        </w:rPr>
      </w:pPr>
      <w:hyperlink w:anchor="_Toc796847755">
        <w:r w:rsidRPr="136F3BEB">
          <w:rPr>
            <w:rStyle w:val="Hyperlink"/>
          </w:rPr>
          <w:t>2.1.6 Changes to termination of pregnancy services</w:t>
        </w:r>
        <w:r w:rsidR="00FB0E15">
          <w:tab/>
        </w:r>
        <w:r w:rsidR="00FB0E15">
          <w:fldChar w:fldCharType="begin"/>
        </w:r>
        <w:r w:rsidR="00FB0E15">
          <w:instrText>PAGEREF _Toc796847755 \h</w:instrText>
        </w:r>
        <w:r w:rsidR="00FB0E15">
          <w:fldChar w:fldCharType="separate"/>
        </w:r>
        <w:r w:rsidRPr="136F3BEB">
          <w:rPr>
            <w:rStyle w:val="Hyperlink"/>
          </w:rPr>
          <w:t>2</w:t>
        </w:r>
        <w:r w:rsidR="00FB0E15">
          <w:fldChar w:fldCharType="end"/>
        </w:r>
      </w:hyperlink>
    </w:p>
    <w:p w14:paraId="7D147A50" w14:textId="77777777" w:rsidR="00356008" w:rsidRPr="006370CB" w:rsidRDefault="136F3BEB" w:rsidP="136F3BEB">
      <w:pPr>
        <w:pStyle w:val="TOC2"/>
        <w:tabs>
          <w:tab w:val="right" w:leader="dot" w:pos="9015"/>
        </w:tabs>
        <w:rPr>
          <w:rFonts w:ascii="Verdana" w:hAnsi="Verdana" w:cstheme="minorBidi"/>
          <w:noProof/>
          <w:kern w:val="2"/>
          <w14:ligatures w14:val="standardContextual"/>
        </w:rPr>
      </w:pPr>
      <w:hyperlink w:anchor="_Toc1835443900">
        <w:r w:rsidRPr="136F3BEB">
          <w:rPr>
            <w:rStyle w:val="Hyperlink"/>
          </w:rPr>
          <w:t>2.1.7 Expansion of the Pharmacy Contraception Service (PCS)</w:t>
        </w:r>
        <w:r w:rsidR="00FB0E15">
          <w:tab/>
        </w:r>
        <w:r w:rsidR="00FB0E15">
          <w:fldChar w:fldCharType="begin"/>
        </w:r>
        <w:r w:rsidR="00FB0E15">
          <w:instrText>PAGEREF _Toc1835443900 \h</w:instrText>
        </w:r>
        <w:r w:rsidR="00FB0E15">
          <w:fldChar w:fldCharType="separate"/>
        </w:r>
        <w:r w:rsidRPr="136F3BEB">
          <w:rPr>
            <w:rStyle w:val="Hyperlink"/>
          </w:rPr>
          <w:t>2</w:t>
        </w:r>
        <w:r w:rsidR="00FB0E15">
          <w:fldChar w:fldCharType="end"/>
        </w:r>
      </w:hyperlink>
    </w:p>
    <w:p w14:paraId="15A542FB" w14:textId="77777777" w:rsidR="00356008" w:rsidRPr="006370CB" w:rsidRDefault="136F3BEB" w:rsidP="136F3BEB">
      <w:pPr>
        <w:pStyle w:val="TOC2"/>
        <w:tabs>
          <w:tab w:val="right" w:leader="dot" w:pos="9015"/>
        </w:tabs>
        <w:rPr>
          <w:rFonts w:ascii="Verdana" w:hAnsi="Verdana" w:cstheme="minorBidi"/>
          <w:noProof/>
          <w:kern w:val="2"/>
          <w14:ligatures w14:val="standardContextual"/>
        </w:rPr>
      </w:pPr>
      <w:hyperlink w:anchor="_Toc1997977976">
        <w:r w:rsidRPr="136F3BEB">
          <w:rPr>
            <w:rStyle w:val="Hyperlink"/>
          </w:rPr>
          <w:t>2.1.8 Extension of the licence for the Mirena intra-uterine device (IUD)</w:t>
        </w:r>
        <w:r w:rsidR="00FB0E15">
          <w:tab/>
        </w:r>
        <w:r w:rsidR="00FB0E15">
          <w:fldChar w:fldCharType="begin"/>
        </w:r>
        <w:r w:rsidR="00FB0E15">
          <w:instrText>PAGEREF _Toc1997977976 \h</w:instrText>
        </w:r>
        <w:r w:rsidR="00FB0E15">
          <w:fldChar w:fldCharType="separate"/>
        </w:r>
        <w:r w:rsidRPr="136F3BEB">
          <w:rPr>
            <w:rStyle w:val="Hyperlink"/>
          </w:rPr>
          <w:t>2</w:t>
        </w:r>
        <w:r w:rsidR="00FB0E15">
          <w:fldChar w:fldCharType="end"/>
        </w:r>
      </w:hyperlink>
    </w:p>
    <w:p w14:paraId="00074AAA" w14:textId="77777777" w:rsidR="00356008" w:rsidRPr="006370CB" w:rsidRDefault="136F3BEB" w:rsidP="136F3BEB">
      <w:pPr>
        <w:pStyle w:val="TOC2"/>
        <w:tabs>
          <w:tab w:val="right" w:leader="dot" w:pos="9015"/>
        </w:tabs>
        <w:rPr>
          <w:rFonts w:ascii="Verdana" w:hAnsi="Verdana" w:cstheme="minorBidi"/>
          <w:noProof/>
          <w:kern w:val="2"/>
          <w14:ligatures w14:val="standardContextual"/>
        </w:rPr>
      </w:pPr>
      <w:hyperlink w:anchor="_Toc1032766593">
        <w:r w:rsidRPr="136F3BEB">
          <w:rPr>
            <w:rStyle w:val="Hyperlink"/>
          </w:rPr>
          <w:t>2.1.9 Mpox outbreak</w:t>
        </w:r>
        <w:r w:rsidR="00FB0E15">
          <w:tab/>
        </w:r>
        <w:r w:rsidR="00FB0E15">
          <w:fldChar w:fldCharType="begin"/>
        </w:r>
        <w:r w:rsidR="00FB0E15">
          <w:instrText>PAGEREF _Toc1032766593 \h</w:instrText>
        </w:r>
        <w:r w:rsidR="00FB0E15">
          <w:fldChar w:fldCharType="separate"/>
        </w:r>
        <w:r w:rsidRPr="136F3BEB">
          <w:rPr>
            <w:rStyle w:val="Hyperlink"/>
          </w:rPr>
          <w:t>2</w:t>
        </w:r>
        <w:r w:rsidR="00FB0E15">
          <w:fldChar w:fldCharType="end"/>
        </w:r>
      </w:hyperlink>
    </w:p>
    <w:p w14:paraId="32C80711" w14:textId="77777777" w:rsidR="00356008" w:rsidRPr="006370CB" w:rsidRDefault="136F3BEB" w:rsidP="136F3BEB">
      <w:pPr>
        <w:pStyle w:val="TOC2"/>
        <w:tabs>
          <w:tab w:val="right" w:leader="dot" w:pos="9015"/>
        </w:tabs>
        <w:rPr>
          <w:rFonts w:ascii="Verdana" w:hAnsi="Verdana" w:cstheme="minorBidi"/>
          <w:noProof/>
          <w:kern w:val="2"/>
          <w:sz w:val="28"/>
          <w:szCs w:val="28"/>
          <w14:ligatures w14:val="standardContextual"/>
        </w:rPr>
      </w:pPr>
      <w:hyperlink w:anchor="_Toc882124799">
        <w:r w:rsidRPr="136F3BEB">
          <w:rPr>
            <w:rStyle w:val="Hyperlink"/>
          </w:rPr>
          <w:t>2.1.10 Funding for Sexual Health Services</w:t>
        </w:r>
        <w:r w:rsidR="00FB0E15">
          <w:tab/>
        </w:r>
        <w:r w:rsidR="00FB0E15">
          <w:fldChar w:fldCharType="begin"/>
        </w:r>
        <w:r w:rsidR="00FB0E15">
          <w:instrText>PAGEREF _Toc882124799 \h</w:instrText>
        </w:r>
        <w:r w:rsidR="00FB0E15">
          <w:fldChar w:fldCharType="separate"/>
        </w:r>
        <w:r w:rsidRPr="136F3BEB">
          <w:rPr>
            <w:rStyle w:val="Hyperlink"/>
          </w:rPr>
          <w:t>2</w:t>
        </w:r>
        <w:r w:rsidR="00FB0E15">
          <w:fldChar w:fldCharType="end"/>
        </w:r>
      </w:hyperlink>
    </w:p>
    <w:p w14:paraId="3EC3F091" w14:textId="77777777" w:rsidR="00356008" w:rsidRPr="006370CB" w:rsidRDefault="136F3BEB" w:rsidP="136F3BEB">
      <w:pPr>
        <w:pStyle w:val="TOC2"/>
        <w:tabs>
          <w:tab w:val="right" w:leader="dot" w:pos="9015"/>
        </w:tabs>
        <w:rPr>
          <w:rFonts w:ascii="Verdana" w:hAnsi="Verdana" w:cstheme="minorBidi"/>
          <w:noProof/>
          <w:kern w:val="2"/>
          <w14:ligatures w14:val="standardContextual"/>
        </w:rPr>
      </w:pPr>
      <w:hyperlink w:anchor="_Toc713546840">
        <w:r w:rsidRPr="136F3BEB">
          <w:rPr>
            <w:rStyle w:val="Hyperlink"/>
          </w:rPr>
          <w:t>2.2 Local Context</w:t>
        </w:r>
        <w:r w:rsidR="00FB0E15">
          <w:tab/>
        </w:r>
        <w:r w:rsidR="00FB0E15">
          <w:fldChar w:fldCharType="begin"/>
        </w:r>
        <w:r w:rsidR="00FB0E15">
          <w:instrText>PAGEREF _Toc713546840 \h</w:instrText>
        </w:r>
        <w:r w:rsidR="00FB0E15">
          <w:fldChar w:fldCharType="separate"/>
        </w:r>
        <w:r w:rsidRPr="136F3BEB">
          <w:rPr>
            <w:rStyle w:val="Hyperlink"/>
          </w:rPr>
          <w:t>2</w:t>
        </w:r>
        <w:r w:rsidR="00FB0E15">
          <w:fldChar w:fldCharType="end"/>
        </w:r>
      </w:hyperlink>
    </w:p>
    <w:p w14:paraId="7DF0C689" w14:textId="77777777" w:rsidR="00356008" w:rsidRPr="006370CB" w:rsidRDefault="136F3BEB" w:rsidP="136F3BEB">
      <w:pPr>
        <w:pStyle w:val="TOC1"/>
        <w:tabs>
          <w:tab w:val="right" w:leader="dot" w:pos="9015"/>
        </w:tabs>
        <w:rPr>
          <w:rFonts w:ascii="Verdana" w:hAnsi="Verdana" w:cstheme="minorBidi"/>
          <w:noProof/>
          <w:kern w:val="2"/>
          <w14:ligatures w14:val="standardContextual"/>
        </w:rPr>
      </w:pPr>
      <w:hyperlink w:anchor="_Toc431493365">
        <w:r w:rsidRPr="136F3BEB">
          <w:rPr>
            <w:rStyle w:val="Hyperlink"/>
          </w:rPr>
          <w:t>3. Kent Population Profile</w:t>
        </w:r>
        <w:r w:rsidR="00FB0E15">
          <w:tab/>
        </w:r>
        <w:r w:rsidR="00FB0E15">
          <w:fldChar w:fldCharType="begin"/>
        </w:r>
        <w:r w:rsidR="00FB0E15">
          <w:instrText>PAGEREF _Toc431493365 \h</w:instrText>
        </w:r>
        <w:r w:rsidR="00FB0E15">
          <w:fldChar w:fldCharType="separate"/>
        </w:r>
        <w:r w:rsidRPr="136F3BEB">
          <w:rPr>
            <w:rStyle w:val="Hyperlink"/>
          </w:rPr>
          <w:t>2</w:t>
        </w:r>
        <w:r w:rsidR="00FB0E15">
          <w:fldChar w:fldCharType="end"/>
        </w:r>
      </w:hyperlink>
    </w:p>
    <w:p w14:paraId="18FD6A23" w14:textId="77777777" w:rsidR="00356008" w:rsidRPr="006370CB" w:rsidRDefault="136F3BEB" w:rsidP="136F3BEB">
      <w:pPr>
        <w:pStyle w:val="TOC2"/>
        <w:tabs>
          <w:tab w:val="right" w:leader="dot" w:pos="9015"/>
        </w:tabs>
        <w:rPr>
          <w:rFonts w:ascii="Verdana" w:hAnsi="Verdana" w:cstheme="minorBidi"/>
          <w:noProof/>
          <w:kern w:val="2"/>
          <w14:ligatures w14:val="standardContextual"/>
        </w:rPr>
      </w:pPr>
      <w:hyperlink w:anchor="_Toc13359961">
        <w:r w:rsidRPr="136F3BEB">
          <w:rPr>
            <w:rStyle w:val="Hyperlink"/>
          </w:rPr>
          <w:t>3.1 Kent Population and Geography</w:t>
        </w:r>
        <w:r w:rsidR="00FB0E15">
          <w:tab/>
        </w:r>
        <w:r w:rsidR="00FB0E15">
          <w:fldChar w:fldCharType="begin"/>
        </w:r>
        <w:r w:rsidR="00FB0E15">
          <w:instrText>PAGEREF _Toc13359961 \h</w:instrText>
        </w:r>
        <w:r w:rsidR="00FB0E15">
          <w:fldChar w:fldCharType="separate"/>
        </w:r>
        <w:r w:rsidRPr="136F3BEB">
          <w:rPr>
            <w:rStyle w:val="Hyperlink"/>
          </w:rPr>
          <w:t>2</w:t>
        </w:r>
        <w:r w:rsidR="00FB0E15">
          <w:fldChar w:fldCharType="end"/>
        </w:r>
      </w:hyperlink>
    </w:p>
    <w:p w14:paraId="4CDD77A3" w14:textId="77777777" w:rsidR="00356008" w:rsidRPr="006370CB" w:rsidRDefault="136F3BEB" w:rsidP="49636075">
      <w:pPr>
        <w:pStyle w:val="TOC2"/>
        <w:tabs>
          <w:tab w:val="right" w:leader="dot" w:pos="9015"/>
        </w:tabs>
        <w:rPr>
          <w:rFonts w:ascii="Verdana" w:hAnsi="Verdana"/>
          <w:noProof/>
          <w:color w:val="0000FF"/>
          <w:u w:val="single"/>
        </w:rPr>
      </w:pPr>
      <w:hyperlink w:anchor="_Toc634877919">
        <w:r w:rsidRPr="136F3BEB">
          <w:rPr>
            <w:rStyle w:val="Hyperlink"/>
          </w:rPr>
          <w:t>3.2 Groups at higher risk of poor sexual health</w:t>
        </w:r>
        <w:r w:rsidR="00FB0E15">
          <w:tab/>
        </w:r>
        <w:r w:rsidR="00FB0E15">
          <w:fldChar w:fldCharType="begin"/>
        </w:r>
        <w:r w:rsidR="00FB0E15">
          <w:instrText>PAGEREF _Toc634877919 \h</w:instrText>
        </w:r>
        <w:r w:rsidR="00FB0E15">
          <w:fldChar w:fldCharType="separate"/>
        </w:r>
        <w:r w:rsidRPr="136F3BEB">
          <w:rPr>
            <w:rStyle w:val="Hyperlink"/>
          </w:rPr>
          <w:t>2</w:t>
        </w:r>
        <w:r w:rsidR="00FB0E15">
          <w:fldChar w:fldCharType="end"/>
        </w:r>
      </w:hyperlink>
    </w:p>
    <w:p w14:paraId="67438786" w14:textId="77777777" w:rsidR="00356008" w:rsidRPr="006370CB" w:rsidRDefault="136F3BEB" w:rsidP="49636075">
      <w:pPr>
        <w:pStyle w:val="TOC2"/>
        <w:tabs>
          <w:tab w:val="right" w:leader="dot" w:pos="9015"/>
        </w:tabs>
        <w:rPr>
          <w:rFonts w:ascii="Verdana" w:hAnsi="Verdana"/>
          <w:noProof/>
          <w:kern w:val="2"/>
          <w14:ligatures w14:val="standardContextual"/>
        </w:rPr>
      </w:pPr>
      <w:hyperlink w:anchor="_Toc1913917208">
        <w:r w:rsidRPr="136F3BEB">
          <w:rPr>
            <w:rStyle w:val="Hyperlink"/>
          </w:rPr>
          <w:t>3.2.1 Young people</w:t>
        </w:r>
        <w:r w:rsidR="00FB0E15">
          <w:tab/>
        </w:r>
        <w:r w:rsidR="00FB0E15">
          <w:fldChar w:fldCharType="begin"/>
        </w:r>
        <w:r w:rsidR="00FB0E15">
          <w:instrText>PAGEREF _Toc1913917208 \h</w:instrText>
        </w:r>
        <w:r w:rsidR="00FB0E15">
          <w:fldChar w:fldCharType="separate"/>
        </w:r>
        <w:r w:rsidRPr="136F3BEB">
          <w:rPr>
            <w:rStyle w:val="Hyperlink"/>
          </w:rPr>
          <w:t>2</w:t>
        </w:r>
        <w:r w:rsidR="00FB0E15">
          <w:fldChar w:fldCharType="end"/>
        </w:r>
      </w:hyperlink>
    </w:p>
    <w:p w14:paraId="24B2FB52" w14:textId="77777777" w:rsidR="00356008" w:rsidRPr="006370CB" w:rsidRDefault="136F3BEB" w:rsidP="49636075">
      <w:pPr>
        <w:pStyle w:val="TOC2"/>
        <w:tabs>
          <w:tab w:val="right" w:leader="dot" w:pos="9015"/>
        </w:tabs>
        <w:rPr>
          <w:rFonts w:ascii="Verdana" w:hAnsi="Verdana"/>
          <w:noProof/>
          <w:kern w:val="2"/>
          <w14:ligatures w14:val="standardContextual"/>
        </w:rPr>
      </w:pPr>
      <w:hyperlink w:anchor="_Toc1389887049">
        <w:r w:rsidRPr="136F3BEB">
          <w:rPr>
            <w:rStyle w:val="Hyperlink"/>
          </w:rPr>
          <w:t>3.2.2 People living in deprived areas</w:t>
        </w:r>
        <w:r w:rsidR="00FB0E15">
          <w:tab/>
        </w:r>
        <w:r w:rsidR="00FB0E15">
          <w:fldChar w:fldCharType="begin"/>
        </w:r>
        <w:r w:rsidR="00FB0E15">
          <w:instrText>PAGEREF _Toc1389887049 \h</w:instrText>
        </w:r>
        <w:r w:rsidR="00FB0E15">
          <w:fldChar w:fldCharType="separate"/>
        </w:r>
        <w:r w:rsidRPr="136F3BEB">
          <w:rPr>
            <w:rStyle w:val="Hyperlink"/>
          </w:rPr>
          <w:t>2</w:t>
        </w:r>
        <w:r w:rsidR="00FB0E15">
          <w:fldChar w:fldCharType="end"/>
        </w:r>
      </w:hyperlink>
    </w:p>
    <w:p w14:paraId="016031E3" w14:textId="77777777" w:rsidR="00356008" w:rsidRPr="006370CB" w:rsidRDefault="136F3BEB" w:rsidP="49636075">
      <w:pPr>
        <w:pStyle w:val="TOC2"/>
        <w:tabs>
          <w:tab w:val="right" w:leader="dot" w:pos="9015"/>
        </w:tabs>
        <w:rPr>
          <w:rFonts w:ascii="Verdana" w:hAnsi="Verdana"/>
          <w:noProof/>
          <w:kern w:val="2"/>
          <w14:ligatures w14:val="standardContextual"/>
        </w:rPr>
      </w:pPr>
      <w:hyperlink w:anchor="_Toc281331297">
        <w:r w:rsidRPr="136F3BEB">
          <w:rPr>
            <w:rStyle w:val="Hyperlink"/>
          </w:rPr>
          <w:t>3.2.3 Black and ethnic minority populations</w:t>
        </w:r>
        <w:r w:rsidR="00FB0E15">
          <w:tab/>
        </w:r>
        <w:r w:rsidR="00FB0E15">
          <w:fldChar w:fldCharType="begin"/>
        </w:r>
        <w:r w:rsidR="00FB0E15">
          <w:instrText>PAGEREF _Toc281331297 \h</w:instrText>
        </w:r>
        <w:r w:rsidR="00FB0E15">
          <w:fldChar w:fldCharType="separate"/>
        </w:r>
        <w:r w:rsidRPr="136F3BEB">
          <w:rPr>
            <w:rStyle w:val="Hyperlink"/>
          </w:rPr>
          <w:t>2</w:t>
        </w:r>
        <w:r w:rsidR="00FB0E15">
          <w:fldChar w:fldCharType="end"/>
        </w:r>
      </w:hyperlink>
    </w:p>
    <w:p w14:paraId="626694AC" w14:textId="77777777" w:rsidR="00356008" w:rsidRPr="006370CB" w:rsidRDefault="136F3BEB" w:rsidP="49636075">
      <w:pPr>
        <w:pStyle w:val="TOC2"/>
        <w:tabs>
          <w:tab w:val="right" w:leader="dot" w:pos="9015"/>
        </w:tabs>
        <w:rPr>
          <w:rFonts w:ascii="Verdana" w:hAnsi="Verdana"/>
          <w:noProof/>
          <w:kern w:val="2"/>
          <w14:ligatures w14:val="standardContextual"/>
        </w:rPr>
      </w:pPr>
      <w:hyperlink w:anchor="_Toc1565549489">
        <w:r w:rsidRPr="136F3BEB">
          <w:rPr>
            <w:rStyle w:val="Hyperlink"/>
          </w:rPr>
          <w:t>3.2.4 Migrant population</w:t>
        </w:r>
        <w:r w:rsidR="00FB0E15">
          <w:tab/>
        </w:r>
        <w:r w:rsidR="00FB0E15">
          <w:fldChar w:fldCharType="begin"/>
        </w:r>
        <w:r w:rsidR="00FB0E15">
          <w:instrText>PAGEREF _Toc1565549489 \h</w:instrText>
        </w:r>
        <w:r w:rsidR="00FB0E15">
          <w:fldChar w:fldCharType="separate"/>
        </w:r>
        <w:r w:rsidRPr="136F3BEB">
          <w:rPr>
            <w:rStyle w:val="Hyperlink"/>
          </w:rPr>
          <w:t>2</w:t>
        </w:r>
        <w:r w:rsidR="00FB0E15">
          <w:fldChar w:fldCharType="end"/>
        </w:r>
      </w:hyperlink>
    </w:p>
    <w:p w14:paraId="14628811" w14:textId="77777777" w:rsidR="00356008" w:rsidRPr="006370CB" w:rsidRDefault="136F3BEB" w:rsidP="49636075">
      <w:pPr>
        <w:pStyle w:val="TOC2"/>
        <w:tabs>
          <w:tab w:val="right" w:leader="dot" w:pos="9015"/>
        </w:tabs>
        <w:rPr>
          <w:rFonts w:ascii="Verdana" w:hAnsi="Verdana"/>
          <w:noProof/>
          <w:kern w:val="2"/>
          <w14:ligatures w14:val="standardContextual"/>
        </w:rPr>
      </w:pPr>
      <w:hyperlink w:anchor="_Toc2083857238">
        <w:r w:rsidRPr="136F3BEB">
          <w:rPr>
            <w:rStyle w:val="Hyperlink"/>
          </w:rPr>
          <w:t>3.2.5 LGBTQ+ people</w:t>
        </w:r>
        <w:r w:rsidR="00FB0E15">
          <w:tab/>
        </w:r>
        <w:r w:rsidR="00FB0E15">
          <w:fldChar w:fldCharType="begin"/>
        </w:r>
        <w:r w:rsidR="00FB0E15">
          <w:instrText>PAGEREF _Toc2083857238 \h</w:instrText>
        </w:r>
        <w:r w:rsidR="00FB0E15">
          <w:fldChar w:fldCharType="separate"/>
        </w:r>
        <w:r w:rsidRPr="136F3BEB">
          <w:rPr>
            <w:rStyle w:val="Hyperlink"/>
          </w:rPr>
          <w:t>2</w:t>
        </w:r>
        <w:r w:rsidR="00FB0E15">
          <w:fldChar w:fldCharType="end"/>
        </w:r>
      </w:hyperlink>
    </w:p>
    <w:p w14:paraId="230AC39A" w14:textId="77777777" w:rsidR="00356008" w:rsidRPr="006370CB" w:rsidRDefault="136F3BEB" w:rsidP="49636075">
      <w:pPr>
        <w:pStyle w:val="TOC2"/>
        <w:tabs>
          <w:tab w:val="right" w:leader="dot" w:pos="9015"/>
        </w:tabs>
        <w:rPr>
          <w:rFonts w:ascii="Verdana" w:hAnsi="Verdana"/>
          <w:noProof/>
          <w:kern w:val="2"/>
          <w14:ligatures w14:val="standardContextual"/>
        </w:rPr>
      </w:pPr>
      <w:hyperlink w:anchor="_Toc1392700855">
        <w:r w:rsidRPr="136F3BEB">
          <w:rPr>
            <w:rStyle w:val="Hyperlink"/>
          </w:rPr>
          <w:t>3.2.6 People experiencing sexual abuse or violence</w:t>
        </w:r>
        <w:r w:rsidR="00FB0E15">
          <w:tab/>
        </w:r>
        <w:r w:rsidR="00FB0E15">
          <w:fldChar w:fldCharType="begin"/>
        </w:r>
        <w:r w:rsidR="00FB0E15">
          <w:instrText>PAGEREF _Toc1392700855 \h</w:instrText>
        </w:r>
        <w:r w:rsidR="00FB0E15">
          <w:fldChar w:fldCharType="separate"/>
        </w:r>
        <w:r w:rsidRPr="136F3BEB">
          <w:rPr>
            <w:rStyle w:val="Hyperlink"/>
          </w:rPr>
          <w:t>2</w:t>
        </w:r>
        <w:r w:rsidR="00FB0E15">
          <w:fldChar w:fldCharType="end"/>
        </w:r>
      </w:hyperlink>
    </w:p>
    <w:p w14:paraId="6EFEB319" w14:textId="77777777" w:rsidR="00356008" w:rsidRPr="006370CB" w:rsidRDefault="136F3BEB" w:rsidP="49636075">
      <w:pPr>
        <w:pStyle w:val="TOC2"/>
        <w:tabs>
          <w:tab w:val="right" w:leader="dot" w:pos="9015"/>
        </w:tabs>
        <w:rPr>
          <w:rFonts w:ascii="Verdana" w:hAnsi="Verdana"/>
          <w:noProof/>
          <w:kern w:val="2"/>
          <w14:ligatures w14:val="standardContextual"/>
        </w:rPr>
      </w:pPr>
      <w:hyperlink w:anchor="_Toc2035264393">
        <w:r w:rsidRPr="136F3BEB">
          <w:rPr>
            <w:rStyle w:val="Hyperlink"/>
          </w:rPr>
          <w:t>3.2.7 Gypsy, Roma and Traveller (GRT) people</w:t>
        </w:r>
        <w:r w:rsidR="00FB0E15">
          <w:tab/>
        </w:r>
        <w:r w:rsidR="00FB0E15">
          <w:fldChar w:fldCharType="begin"/>
        </w:r>
        <w:r w:rsidR="00FB0E15">
          <w:instrText>PAGEREF _Toc2035264393 \h</w:instrText>
        </w:r>
        <w:r w:rsidR="00FB0E15">
          <w:fldChar w:fldCharType="separate"/>
        </w:r>
        <w:r w:rsidRPr="136F3BEB">
          <w:rPr>
            <w:rStyle w:val="Hyperlink"/>
          </w:rPr>
          <w:t>2</w:t>
        </w:r>
        <w:r w:rsidR="00FB0E15">
          <w:fldChar w:fldCharType="end"/>
        </w:r>
      </w:hyperlink>
    </w:p>
    <w:p w14:paraId="3C29C336" w14:textId="77777777" w:rsidR="00356008" w:rsidRPr="006370CB" w:rsidRDefault="136F3BEB" w:rsidP="136F3BEB">
      <w:pPr>
        <w:pStyle w:val="TOC2"/>
        <w:tabs>
          <w:tab w:val="right" w:leader="dot" w:pos="9015"/>
        </w:tabs>
        <w:rPr>
          <w:rFonts w:ascii="Verdana" w:hAnsi="Verdana"/>
          <w:noProof/>
          <w:kern w:val="2"/>
          <w:sz w:val="28"/>
          <w:szCs w:val="28"/>
          <w14:ligatures w14:val="standardContextual"/>
        </w:rPr>
      </w:pPr>
      <w:hyperlink w:anchor="_Toc986453221">
        <w:r w:rsidRPr="136F3BEB">
          <w:rPr>
            <w:rStyle w:val="Hyperlink"/>
          </w:rPr>
          <w:t>3.2.8 Alcohol and drug misuse</w:t>
        </w:r>
        <w:r w:rsidR="00FB0E15">
          <w:tab/>
        </w:r>
        <w:r w:rsidR="00FB0E15">
          <w:fldChar w:fldCharType="begin"/>
        </w:r>
        <w:r w:rsidR="00FB0E15">
          <w:instrText>PAGEREF _Toc986453221 \h</w:instrText>
        </w:r>
        <w:r w:rsidR="00FB0E15">
          <w:fldChar w:fldCharType="separate"/>
        </w:r>
        <w:r w:rsidRPr="136F3BEB">
          <w:rPr>
            <w:rStyle w:val="Hyperlink"/>
          </w:rPr>
          <w:t>2</w:t>
        </w:r>
        <w:r w:rsidR="00FB0E15">
          <w:fldChar w:fldCharType="end"/>
        </w:r>
      </w:hyperlink>
    </w:p>
    <w:p w14:paraId="2932D5A5" w14:textId="77777777" w:rsidR="00356008" w:rsidRPr="006370CB" w:rsidRDefault="136F3BEB" w:rsidP="136F3BEB">
      <w:pPr>
        <w:pStyle w:val="TOC2"/>
        <w:tabs>
          <w:tab w:val="right" w:leader="dot" w:pos="9015"/>
        </w:tabs>
        <w:rPr>
          <w:rFonts w:ascii="Verdana" w:hAnsi="Verdana" w:cstheme="minorBidi"/>
          <w:noProof/>
          <w:kern w:val="2"/>
          <w14:ligatures w14:val="standardContextual"/>
        </w:rPr>
      </w:pPr>
      <w:hyperlink w:anchor="_Toc253906454">
        <w:r w:rsidRPr="136F3BEB">
          <w:rPr>
            <w:rStyle w:val="Hyperlink"/>
          </w:rPr>
          <w:t>3.2.9 People in Contact with the Justice System</w:t>
        </w:r>
        <w:r w:rsidR="00FB0E15">
          <w:tab/>
        </w:r>
        <w:r w:rsidR="00FB0E15">
          <w:fldChar w:fldCharType="begin"/>
        </w:r>
        <w:r w:rsidR="00FB0E15">
          <w:instrText>PAGEREF _Toc253906454 \h</w:instrText>
        </w:r>
        <w:r w:rsidR="00FB0E15">
          <w:fldChar w:fldCharType="separate"/>
        </w:r>
        <w:r w:rsidRPr="136F3BEB">
          <w:rPr>
            <w:rStyle w:val="Hyperlink"/>
          </w:rPr>
          <w:t>2</w:t>
        </w:r>
        <w:r w:rsidR="00FB0E15">
          <w:fldChar w:fldCharType="end"/>
        </w:r>
      </w:hyperlink>
    </w:p>
    <w:p w14:paraId="1E3AEB6B" w14:textId="77777777" w:rsidR="00356008" w:rsidRPr="006370CB" w:rsidRDefault="136F3BEB" w:rsidP="136F3BEB">
      <w:pPr>
        <w:pStyle w:val="TOC2"/>
        <w:tabs>
          <w:tab w:val="right" w:leader="dot" w:pos="9015"/>
        </w:tabs>
        <w:rPr>
          <w:rFonts w:ascii="Verdana" w:hAnsi="Verdana" w:cstheme="minorBidi"/>
          <w:noProof/>
          <w:kern w:val="2"/>
          <w14:ligatures w14:val="standardContextual"/>
        </w:rPr>
      </w:pPr>
      <w:hyperlink w:anchor="_Toc1386152145">
        <w:r w:rsidRPr="136F3BEB">
          <w:rPr>
            <w:rStyle w:val="Hyperlink"/>
          </w:rPr>
          <w:t>3.2.10 Homeless Population</w:t>
        </w:r>
        <w:r w:rsidR="00FB0E15">
          <w:tab/>
        </w:r>
        <w:r w:rsidR="00FB0E15">
          <w:fldChar w:fldCharType="begin"/>
        </w:r>
        <w:r w:rsidR="00FB0E15">
          <w:instrText>PAGEREF _Toc1386152145 \h</w:instrText>
        </w:r>
        <w:r w:rsidR="00FB0E15">
          <w:fldChar w:fldCharType="separate"/>
        </w:r>
        <w:r w:rsidRPr="136F3BEB">
          <w:rPr>
            <w:rStyle w:val="Hyperlink"/>
          </w:rPr>
          <w:t>2</w:t>
        </w:r>
        <w:r w:rsidR="00FB0E15">
          <w:fldChar w:fldCharType="end"/>
        </w:r>
      </w:hyperlink>
    </w:p>
    <w:p w14:paraId="55661E7E" w14:textId="77777777" w:rsidR="00356008" w:rsidRPr="006370CB" w:rsidRDefault="136F3BEB" w:rsidP="136F3BEB">
      <w:pPr>
        <w:pStyle w:val="TOC2"/>
        <w:tabs>
          <w:tab w:val="right" w:leader="dot" w:pos="9015"/>
        </w:tabs>
        <w:rPr>
          <w:rFonts w:ascii="Verdana" w:hAnsi="Verdana" w:cstheme="minorBidi"/>
          <w:noProof/>
          <w:kern w:val="2"/>
          <w14:ligatures w14:val="standardContextual"/>
        </w:rPr>
      </w:pPr>
      <w:hyperlink w:anchor="_Toc1610653789">
        <w:r w:rsidRPr="136F3BEB">
          <w:rPr>
            <w:rStyle w:val="Hyperlink"/>
          </w:rPr>
          <w:t>3.2.11 Women’s Health</w:t>
        </w:r>
        <w:r w:rsidR="00FB0E15">
          <w:tab/>
        </w:r>
        <w:r w:rsidR="00FB0E15">
          <w:fldChar w:fldCharType="begin"/>
        </w:r>
        <w:r w:rsidR="00FB0E15">
          <w:instrText>PAGEREF _Toc1610653789 \h</w:instrText>
        </w:r>
        <w:r w:rsidR="00FB0E15">
          <w:fldChar w:fldCharType="separate"/>
        </w:r>
        <w:r w:rsidRPr="136F3BEB">
          <w:rPr>
            <w:rStyle w:val="Hyperlink"/>
          </w:rPr>
          <w:t>2</w:t>
        </w:r>
        <w:r w:rsidR="00FB0E15">
          <w:fldChar w:fldCharType="end"/>
        </w:r>
      </w:hyperlink>
    </w:p>
    <w:p w14:paraId="49ACB192" w14:textId="77777777" w:rsidR="00356008" w:rsidRPr="006370CB" w:rsidRDefault="136F3BEB" w:rsidP="49636075">
      <w:pPr>
        <w:pStyle w:val="TOC2"/>
        <w:tabs>
          <w:tab w:val="right" w:leader="dot" w:pos="9015"/>
        </w:tabs>
        <w:rPr>
          <w:rFonts w:ascii="Verdana" w:hAnsi="Verdana"/>
          <w:noProof/>
          <w:kern w:val="2"/>
          <w14:ligatures w14:val="standardContextual"/>
        </w:rPr>
      </w:pPr>
      <w:hyperlink w:anchor="_Toc268739179">
        <w:r w:rsidRPr="136F3BEB">
          <w:rPr>
            <w:rStyle w:val="Hyperlink"/>
          </w:rPr>
          <w:t>3.2.12 Intersectionality</w:t>
        </w:r>
        <w:r w:rsidR="00FB0E15">
          <w:tab/>
        </w:r>
        <w:r w:rsidR="00FB0E15">
          <w:fldChar w:fldCharType="begin"/>
        </w:r>
        <w:r w:rsidR="00FB0E15">
          <w:instrText>PAGEREF _Toc268739179 \h</w:instrText>
        </w:r>
        <w:r w:rsidR="00FB0E15">
          <w:fldChar w:fldCharType="separate"/>
        </w:r>
        <w:r w:rsidRPr="136F3BEB">
          <w:rPr>
            <w:rStyle w:val="Hyperlink"/>
          </w:rPr>
          <w:t>2</w:t>
        </w:r>
        <w:r w:rsidR="00FB0E15">
          <w:fldChar w:fldCharType="end"/>
        </w:r>
      </w:hyperlink>
    </w:p>
    <w:p w14:paraId="01251A2A" w14:textId="77777777" w:rsidR="00356008" w:rsidRPr="006370CB" w:rsidRDefault="136F3BEB" w:rsidP="49636075">
      <w:pPr>
        <w:pStyle w:val="TOC2"/>
        <w:tabs>
          <w:tab w:val="right" w:leader="dot" w:pos="9015"/>
        </w:tabs>
        <w:rPr>
          <w:rFonts w:ascii="Verdana" w:hAnsi="Verdana"/>
          <w:noProof/>
          <w:kern w:val="2"/>
          <w14:ligatures w14:val="standardContextual"/>
        </w:rPr>
      </w:pPr>
      <w:hyperlink w:anchor="_Toc2004891635">
        <w:r w:rsidRPr="136F3BEB">
          <w:rPr>
            <w:rStyle w:val="Hyperlink"/>
          </w:rPr>
          <w:t>3.2.13 Conclusion</w:t>
        </w:r>
        <w:r w:rsidR="00FB0E15">
          <w:tab/>
        </w:r>
        <w:r w:rsidR="00FB0E15">
          <w:fldChar w:fldCharType="begin"/>
        </w:r>
        <w:r w:rsidR="00FB0E15">
          <w:instrText>PAGEREF _Toc2004891635 \h</w:instrText>
        </w:r>
        <w:r w:rsidR="00FB0E15">
          <w:fldChar w:fldCharType="separate"/>
        </w:r>
        <w:r w:rsidRPr="136F3BEB">
          <w:rPr>
            <w:rStyle w:val="Hyperlink"/>
          </w:rPr>
          <w:t>2</w:t>
        </w:r>
        <w:r w:rsidR="00FB0E15">
          <w:fldChar w:fldCharType="end"/>
        </w:r>
      </w:hyperlink>
    </w:p>
    <w:p w14:paraId="076974DC" w14:textId="77777777" w:rsidR="00356008" w:rsidRPr="006370CB" w:rsidRDefault="136F3BEB" w:rsidP="136F3BEB">
      <w:pPr>
        <w:pStyle w:val="TOC1"/>
        <w:tabs>
          <w:tab w:val="right" w:leader="dot" w:pos="9015"/>
        </w:tabs>
        <w:rPr>
          <w:rFonts w:ascii="Verdana" w:hAnsi="Verdana"/>
          <w:noProof/>
          <w:kern w:val="2"/>
          <w14:ligatures w14:val="standardContextual"/>
        </w:rPr>
      </w:pPr>
      <w:hyperlink w:anchor="_Toc1965426297">
        <w:r w:rsidRPr="136F3BEB">
          <w:rPr>
            <w:rStyle w:val="Hyperlink"/>
          </w:rPr>
          <w:t>4.Kent’s Sexual Health Needs</w:t>
        </w:r>
        <w:r w:rsidR="00FB0E15">
          <w:tab/>
        </w:r>
        <w:r w:rsidR="00FB0E15">
          <w:fldChar w:fldCharType="begin"/>
        </w:r>
        <w:r w:rsidR="00FB0E15">
          <w:instrText>PAGEREF _Toc1965426297 \h</w:instrText>
        </w:r>
        <w:r w:rsidR="00FB0E15">
          <w:fldChar w:fldCharType="separate"/>
        </w:r>
        <w:r w:rsidRPr="136F3BEB">
          <w:rPr>
            <w:rStyle w:val="Hyperlink"/>
          </w:rPr>
          <w:t>2</w:t>
        </w:r>
        <w:r w:rsidR="00FB0E15">
          <w:fldChar w:fldCharType="end"/>
        </w:r>
      </w:hyperlink>
    </w:p>
    <w:p w14:paraId="73B4C6DB" w14:textId="77777777" w:rsidR="00356008" w:rsidRPr="006370CB" w:rsidRDefault="136F3BEB" w:rsidP="49636075">
      <w:pPr>
        <w:pStyle w:val="TOC2"/>
        <w:tabs>
          <w:tab w:val="right" w:leader="dot" w:pos="9015"/>
        </w:tabs>
        <w:rPr>
          <w:rFonts w:ascii="Verdana" w:hAnsi="Verdana"/>
          <w:noProof/>
          <w:kern w:val="2"/>
          <w14:ligatures w14:val="standardContextual"/>
        </w:rPr>
      </w:pPr>
      <w:hyperlink w:anchor="_Toc2105198890">
        <w:r w:rsidRPr="136F3BEB">
          <w:rPr>
            <w:rStyle w:val="Hyperlink"/>
          </w:rPr>
          <w:t>4.1 Sexually Transmitted Infections</w:t>
        </w:r>
        <w:r w:rsidR="00FB0E15">
          <w:tab/>
        </w:r>
        <w:r w:rsidR="00FB0E15">
          <w:fldChar w:fldCharType="begin"/>
        </w:r>
        <w:r w:rsidR="00FB0E15">
          <w:instrText>PAGEREF _Toc2105198890 \h</w:instrText>
        </w:r>
        <w:r w:rsidR="00FB0E15">
          <w:fldChar w:fldCharType="separate"/>
        </w:r>
        <w:r w:rsidRPr="136F3BEB">
          <w:rPr>
            <w:rStyle w:val="Hyperlink"/>
          </w:rPr>
          <w:t>2</w:t>
        </w:r>
        <w:r w:rsidR="00FB0E15">
          <w:fldChar w:fldCharType="end"/>
        </w:r>
      </w:hyperlink>
    </w:p>
    <w:p w14:paraId="793DA7F8" w14:textId="77777777" w:rsidR="00356008" w:rsidRPr="006370CB" w:rsidRDefault="136F3BEB" w:rsidP="49636075">
      <w:pPr>
        <w:pStyle w:val="TOC2"/>
        <w:tabs>
          <w:tab w:val="right" w:leader="dot" w:pos="9015"/>
        </w:tabs>
        <w:rPr>
          <w:rFonts w:ascii="Verdana" w:hAnsi="Verdana"/>
          <w:noProof/>
          <w:kern w:val="2"/>
          <w14:ligatures w14:val="standardContextual"/>
        </w:rPr>
      </w:pPr>
      <w:hyperlink w:anchor="_Toc1214913810">
        <w:r w:rsidRPr="136F3BEB">
          <w:rPr>
            <w:rStyle w:val="Hyperlink"/>
          </w:rPr>
          <w:t>4.1.1 Chlamydia</w:t>
        </w:r>
        <w:r w:rsidR="00FB0E15">
          <w:tab/>
        </w:r>
        <w:r w:rsidR="00FB0E15">
          <w:fldChar w:fldCharType="begin"/>
        </w:r>
        <w:r w:rsidR="00FB0E15">
          <w:instrText>PAGEREF _Toc1214913810 \h</w:instrText>
        </w:r>
        <w:r w:rsidR="00FB0E15">
          <w:fldChar w:fldCharType="separate"/>
        </w:r>
        <w:r w:rsidRPr="136F3BEB">
          <w:rPr>
            <w:rStyle w:val="Hyperlink"/>
          </w:rPr>
          <w:t>2</w:t>
        </w:r>
        <w:r w:rsidR="00FB0E15">
          <w:fldChar w:fldCharType="end"/>
        </w:r>
      </w:hyperlink>
    </w:p>
    <w:p w14:paraId="4D61C69C" w14:textId="77777777" w:rsidR="00356008" w:rsidRPr="006370CB" w:rsidRDefault="136F3BEB" w:rsidP="49636075">
      <w:pPr>
        <w:pStyle w:val="TOC2"/>
        <w:tabs>
          <w:tab w:val="right" w:leader="dot" w:pos="9015"/>
        </w:tabs>
        <w:rPr>
          <w:rFonts w:ascii="Verdana" w:hAnsi="Verdana"/>
          <w:noProof/>
          <w:kern w:val="2"/>
          <w14:ligatures w14:val="standardContextual"/>
        </w:rPr>
      </w:pPr>
      <w:hyperlink w:anchor="_Toc793693297">
        <w:r w:rsidRPr="136F3BEB">
          <w:rPr>
            <w:rStyle w:val="Hyperlink"/>
          </w:rPr>
          <w:t>4.1.2 Gonorrhoea</w:t>
        </w:r>
        <w:r w:rsidR="00FB0E15">
          <w:tab/>
        </w:r>
        <w:r w:rsidR="00FB0E15">
          <w:fldChar w:fldCharType="begin"/>
        </w:r>
        <w:r w:rsidR="00FB0E15">
          <w:instrText>PAGEREF _Toc793693297 \h</w:instrText>
        </w:r>
        <w:r w:rsidR="00FB0E15">
          <w:fldChar w:fldCharType="separate"/>
        </w:r>
        <w:r w:rsidRPr="136F3BEB">
          <w:rPr>
            <w:rStyle w:val="Hyperlink"/>
          </w:rPr>
          <w:t>2</w:t>
        </w:r>
        <w:r w:rsidR="00FB0E15">
          <w:fldChar w:fldCharType="end"/>
        </w:r>
      </w:hyperlink>
    </w:p>
    <w:p w14:paraId="3B0D2FB4" w14:textId="77777777" w:rsidR="00356008" w:rsidRPr="006370CB" w:rsidRDefault="136F3BEB" w:rsidP="49636075">
      <w:pPr>
        <w:pStyle w:val="TOC2"/>
        <w:tabs>
          <w:tab w:val="right" w:leader="dot" w:pos="9015"/>
        </w:tabs>
        <w:rPr>
          <w:rFonts w:ascii="Verdana" w:hAnsi="Verdana"/>
          <w:noProof/>
          <w:kern w:val="2"/>
          <w14:ligatures w14:val="standardContextual"/>
        </w:rPr>
      </w:pPr>
      <w:hyperlink w:anchor="_Toc1526024305">
        <w:r w:rsidRPr="136F3BEB">
          <w:rPr>
            <w:rStyle w:val="Hyperlink"/>
          </w:rPr>
          <w:t>4.1.3 Genital Herpes and warts</w:t>
        </w:r>
        <w:r w:rsidR="00FB0E15">
          <w:tab/>
        </w:r>
        <w:r w:rsidR="00FB0E15">
          <w:fldChar w:fldCharType="begin"/>
        </w:r>
        <w:r w:rsidR="00FB0E15">
          <w:instrText>PAGEREF _Toc1526024305 \h</w:instrText>
        </w:r>
        <w:r w:rsidR="00FB0E15">
          <w:fldChar w:fldCharType="separate"/>
        </w:r>
        <w:r w:rsidRPr="136F3BEB">
          <w:rPr>
            <w:rStyle w:val="Hyperlink"/>
          </w:rPr>
          <w:t>2</w:t>
        </w:r>
        <w:r w:rsidR="00FB0E15">
          <w:fldChar w:fldCharType="end"/>
        </w:r>
      </w:hyperlink>
    </w:p>
    <w:p w14:paraId="03EBEEDA" w14:textId="77777777" w:rsidR="00356008" w:rsidRPr="006370CB" w:rsidRDefault="136F3BEB" w:rsidP="49636075">
      <w:pPr>
        <w:pStyle w:val="TOC2"/>
        <w:tabs>
          <w:tab w:val="right" w:leader="dot" w:pos="9015"/>
        </w:tabs>
        <w:rPr>
          <w:rFonts w:ascii="Verdana" w:hAnsi="Verdana"/>
          <w:noProof/>
          <w:kern w:val="2"/>
          <w14:ligatures w14:val="standardContextual"/>
        </w:rPr>
      </w:pPr>
      <w:hyperlink w:anchor="_Toc953767803">
        <w:r w:rsidRPr="136F3BEB">
          <w:rPr>
            <w:rStyle w:val="Hyperlink"/>
          </w:rPr>
          <w:t>4.1.4 Syphilis</w:t>
        </w:r>
        <w:r w:rsidR="00FB0E15">
          <w:tab/>
        </w:r>
        <w:r w:rsidR="00FB0E15">
          <w:fldChar w:fldCharType="begin"/>
        </w:r>
        <w:r w:rsidR="00FB0E15">
          <w:instrText>PAGEREF _Toc953767803 \h</w:instrText>
        </w:r>
        <w:r w:rsidR="00FB0E15">
          <w:fldChar w:fldCharType="separate"/>
        </w:r>
        <w:r w:rsidRPr="136F3BEB">
          <w:rPr>
            <w:rStyle w:val="Hyperlink"/>
          </w:rPr>
          <w:t>2</w:t>
        </w:r>
        <w:r w:rsidR="00FB0E15">
          <w:fldChar w:fldCharType="end"/>
        </w:r>
      </w:hyperlink>
    </w:p>
    <w:p w14:paraId="0D36C83D" w14:textId="77777777" w:rsidR="00356008" w:rsidRPr="006370CB" w:rsidRDefault="136F3BEB" w:rsidP="49636075">
      <w:pPr>
        <w:pStyle w:val="TOC2"/>
        <w:tabs>
          <w:tab w:val="right" w:leader="dot" w:pos="9015"/>
        </w:tabs>
        <w:rPr>
          <w:rFonts w:ascii="Verdana" w:hAnsi="Verdana"/>
          <w:noProof/>
          <w:kern w:val="2"/>
          <w14:ligatures w14:val="standardContextual"/>
        </w:rPr>
      </w:pPr>
      <w:hyperlink w:anchor="_Toc1374413332">
        <w:r w:rsidRPr="136F3BEB">
          <w:rPr>
            <w:rStyle w:val="Hyperlink"/>
          </w:rPr>
          <w:t>4.2 HIV</w:t>
        </w:r>
        <w:r w:rsidR="00FB0E15">
          <w:tab/>
        </w:r>
        <w:r w:rsidR="00FB0E15">
          <w:fldChar w:fldCharType="begin"/>
        </w:r>
        <w:r w:rsidR="00FB0E15">
          <w:instrText>PAGEREF _Toc1374413332 \h</w:instrText>
        </w:r>
        <w:r w:rsidR="00FB0E15">
          <w:fldChar w:fldCharType="separate"/>
        </w:r>
        <w:r w:rsidRPr="136F3BEB">
          <w:rPr>
            <w:rStyle w:val="Hyperlink"/>
          </w:rPr>
          <w:t>2</w:t>
        </w:r>
        <w:r w:rsidR="00FB0E15">
          <w:fldChar w:fldCharType="end"/>
        </w:r>
      </w:hyperlink>
    </w:p>
    <w:p w14:paraId="09AC71A1" w14:textId="77777777" w:rsidR="00356008" w:rsidRPr="006370CB" w:rsidRDefault="136F3BEB" w:rsidP="49636075">
      <w:pPr>
        <w:pStyle w:val="TOC2"/>
        <w:tabs>
          <w:tab w:val="right" w:leader="dot" w:pos="9015"/>
        </w:tabs>
        <w:rPr>
          <w:rFonts w:ascii="Verdana" w:hAnsi="Verdana"/>
          <w:noProof/>
          <w:kern w:val="2"/>
          <w14:ligatures w14:val="standardContextual"/>
        </w:rPr>
      </w:pPr>
      <w:hyperlink w:anchor="_Toc928359627">
        <w:r w:rsidRPr="136F3BEB">
          <w:rPr>
            <w:rStyle w:val="Hyperlink"/>
          </w:rPr>
          <w:t>4.3 Use of Long-Acting Reversible Contraception (LARC)</w:t>
        </w:r>
        <w:r w:rsidR="00FB0E15">
          <w:tab/>
        </w:r>
        <w:r w:rsidR="00FB0E15">
          <w:fldChar w:fldCharType="begin"/>
        </w:r>
        <w:r w:rsidR="00FB0E15">
          <w:instrText>PAGEREF _Toc928359627 \h</w:instrText>
        </w:r>
        <w:r w:rsidR="00FB0E15">
          <w:fldChar w:fldCharType="separate"/>
        </w:r>
        <w:r w:rsidRPr="136F3BEB">
          <w:rPr>
            <w:rStyle w:val="Hyperlink"/>
          </w:rPr>
          <w:t>3</w:t>
        </w:r>
        <w:r w:rsidR="00FB0E15">
          <w:fldChar w:fldCharType="end"/>
        </w:r>
      </w:hyperlink>
    </w:p>
    <w:p w14:paraId="378FDA12" w14:textId="77777777" w:rsidR="00356008" w:rsidRPr="006370CB" w:rsidRDefault="136F3BEB" w:rsidP="49636075">
      <w:pPr>
        <w:pStyle w:val="TOC2"/>
        <w:tabs>
          <w:tab w:val="right" w:leader="dot" w:pos="9015"/>
        </w:tabs>
        <w:rPr>
          <w:rFonts w:ascii="Verdana" w:hAnsi="Verdana"/>
          <w:noProof/>
          <w:kern w:val="2"/>
          <w14:ligatures w14:val="standardContextual"/>
        </w:rPr>
      </w:pPr>
      <w:hyperlink w:anchor="_Toc113529450">
        <w:r w:rsidRPr="136F3BEB">
          <w:rPr>
            <w:rStyle w:val="Hyperlink"/>
          </w:rPr>
          <w:t>4.4 Under 18 Conceptions</w:t>
        </w:r>
        <w:r w:rsidR="00FB0E15">
          <w:tab/>
        </w:r>
        <w:r w:rsidR="00FB0E15">
          <w:fldChar w:fldCharType="begin"/>
        </w:r>
        <w:r w:rsidR="00FB0E15">
          <w:instrText>PAGEREF _Toc113529450 \h</w:instrText>
        </w:r>
        <w:r w:rsidR="00FB0E15">
          <w:fldChar w:fldCharType="separate"/>
        </w:r>
        <w:r w:rsidRPr="136F3BEB">
          <w:rPr>
            <w:rStyle w:val="Hyperlink"/>
          </w:rPr>
          <w:t>3</w:t>
        </w:r>
        <w:r w:rsidR="00FB0E15">
          <w:fldChar w:fldCharType="end"/>
        </w:r>
      </w:hyperlink>
    </w:p>
    <w:p w14:paraId="24ADC14D" w14:textId="77777777" w:rsidR="00356008" w:rsidRPr="006370CB" w:rsidRDefault="136F3BEB" w:rsidP="49636075">
      <w:pPr>
        <w:pStyle w:val="TOC2"/>
        <w:tabs>
          <w:tab w:val="right" w:leader="dot" w:pos="9015"/>
        </w:tabs>
        <w:rPr>
          <w:rFonts w:ascii="Verdana" w:hAnsi="Verdana"/>
          <w:noProof/>
          <w:kern w:val="2"/>
          <w14:ligatures w14:val="standardContextual"/>
        </w:rPr>
      </w:pPr>
      <w:hyperlink w:anchor="_Toc1482692886">
        <w:r w:rsidRPr="136F3BEB">
          <w:rPr>
            <w:rStyle w:val="Hyperlink"/>
          </w:rPr>
          <w:t>4.5 Abortions</w:t>
        </w:r>
        <w:r w:rsidR="00FB0E15">
          <w:tab/>
        </w:r>
        <w:r w:rsidR="00FB0E15">
          <w:fldChar w:fldCharType="begin"/>
        </w:r>
        <w:r w:rsidR="00FB0E15">
          <w:instrText>PAGEREF _Toc1482692886 \h</w:instrText>
        </w:r>
        <w:r w:rsidR="00FB0E15">
          <w:fldChar w:fldCharType="separate"/>
        </w:r>
        <w:r w:rsidRPr="136F3BEB">
          <w:rPr>
            <w:rStyle w:val="Hyperlink"/>
          </w:rPr>
          <w:t>3</w:t>
        </w:r>
        <w:r w:rsidR="00FB0E15">
          <w:fldChar w:fldCharType="end"/>
        </w:r>
      </w:hyperlink>
    </w:p>
    <w:p w14:paraId="38DD7BDE" w14:textId="77777777" w:rsidR="00356008" w:rsidRPr="006370CB" w:rsidRDefault="136F3BEB" w:rsidP="136F3BEB">
      <w:pPr>
        <w:pStyle w:val="TOC2"/>
        <w:tabs>
          <w:tab w:val="right" w:leader="dot" w:pos="9015"/>
        </w:tabs>
        <w:rPr>
          <w:rFonts w:ascii="Verdana" w:hAnsi="Verdana" w:cstheme="minorBidi"/>
          <w:noProof/>
          <w:kern w:val="2"/>
          <w:sz w:val="28"/>
          <w:szCs w:val="28"/>
          <w14:ligatures w14:val="standardContextual"/>
        </w:rPr>
      </w:pPr>
      <w:hyperlink w:anchor="_Toc1473137543">
        <w:r w:rsidRPr="136F3BEB">
          <w:rPr>
            <w:rStyle w:val="Hyperlink"/>
          </w:rPr>
          <w:t>4.6 Ectopic Pregnancy and Pelvic Inflammatory Disease</w:t>
        </w:r>
        <w:r w:rsidR="00FB0E15">
          <w:tab/>
        </w:r>
        <w:r w:rsidR="00FB0E15">
          <w:fldChar w:fldCharType="begin"/>
        </w:r>
        <w:r w:rsidR="00FB0E15">
          <w:instrText>PAGEREF _Toc1473137543 \h</w:instrText>
        </w:r>
        <w:r w:rsidR="00FB0E15">
          <w:fldChar w:fldCharType="separate"/>
        </w:r>
        <w:r w:rsidRPr="136F3BEB">
          <w:rPr>
            <w:rStyle w:val="Hyperlink"/>
          </w:rPr>
          <w:t>3</w:t>
        </w:r>
        <w:r w:rsidR="00FB0E15">
          <w:fldChar w:fldCharType="end"/>
        </w:r>
      </w:hyperlink>
    </w:p>
    <w:p w14:paraId="23E5C5C6" w14:textId="77777777" w:rsidR="00356008" w:rsidRPr="006370CB" w:rsidRDefault="136F3BEB" w:rsidP="136F3BEB">
      <w:pPr>
        <w:pStyle w:val="TOC1"/>
        <w:tabs>
          <w:tab w:val="right" w:leader="dot" w:pos="9015"/>
        </w:tabs>
        <w:rPr>
          <w:rFonts w:ascii="Verdana" w:eastAsia="Verdana" w:hAnsi="Verdana" w:cs="Verdana"/>
          <w:noProof/>
          <w:kern w:val="2"/>
          <w14:ligatures w14:val="standardContextual"/>
        </w:rPr>
      </w:pPr>
      <w:hyperlink w:anchor="_Toc1459279652">
        <w:r w:rsidRPr="136F3BEB">
          <w:rPr>
            <w:rStyle w:val="Hyperlink"/>
          </w:rPr>
          <w:t>5.Sexual Health Services in Kent</w:t>
        </w:r>
        <w:r w:rsidR="00FB0E15">
          <w:tab/>
        </w:r>
        <w:r w:rsidR="00FB0E15">
          <w:fldChar w:fldCharType="begin"/>
        </w:r>
        <w:r w:rsidR="00FB0E15">
          <w:instrText>PAGEREF _Toc1459279652 \h</w:instrText>
        </w:r>
        <w:r w:rsidR="00FB0E15">
          <w:fldChar w:fldCharType="separate"/>
        </w:r>
        <w:r w:rsidRPr="136F3BEB">
          <w:rPr>
            <w:rStyle w:val="Hyperlink"/>
          </w:rPr>
          <w:t>3</w:t>
        </w:r>
        <w:r w:rsidR="00FB0E15">
          <w:fldChar w:fldCharType="end"/>
        </w:r>
      </w:hyperlink>
    </w:p>
    <w:p w14:paraId="40E0F367" w14:textId="77777777" w:rsidR="00356008" w:rsidRPr="006370CB" w:rsidRDefault="136F3BEB" w:rsidP="49636075">
      <w:pPr>
        <w:pStyle w:val="TOC2"/>
        <w:tabs>
          <w:tab w:val="right" w:leader="dot" w:pos="9015"/>
        </w:tabs>
        <w:rPr>
          <w:rFonts w:ascii="Verdana" w:hAnsi="Verdana"/>
          <w:noProof/>
          <w:kern w:val="2"/>
          <w14:ligatures w14:val="standardContextual"/>
        </w:rPr>
      </w:pPr>
      <w:hyperlink w:anchor="_Toc1340609564">
        <w:r w:rsidRPr="136F3BEB">
          <w:rPr>
            <w:rStyle w:val="Hyperlink"/>
          </w:rPr>
          <w:t>5.1 Specialist Integrated Sexual Health Services</w:t>
        </w:r>
        <w:r w:rsidR="00FB0E15">
          <w:tab/>
        </w:r>
        <w:r w:rsidR="00FB0E15">
          <w:fldChar w:fldCharType="begin"/>
        </w:r>
        <w:r w:rsidR="00FB0E15">
          <w:instrText>PAGEREF _Toc1340609564 \h</w:instrText>
        </w:r>
        <w:r w:rsidR="00FB0E15">
          <w:fldChar w:fldCharType="separate"/>
        </w:r>
        <w:r w:rsidRPr="136F3BEB">
          <w:rPr>
            <w:rStyle w:val="Hyperlink"/>
          </w:rPr>
          <w:t>3</w:t>
        </w:r>
        <w:r w:rsidR="00FB0E15">
          <w:fldChar w:fldCharType="end"/>
        </w:r>
      </w:hyperlink>
    </w:p>
    <w:p w14:paraId="10E69249" w14:textId="77777777" w:rsidR="00356008" w:rsidRPr="006370CB" w:rsidRDefault="136F3BEB" w:rsidP="49636075">
      <w:pPr>
        <w:pStyle w:val="TOC2"/>
        <w:tabs>
          <w:tab w:val="right" w:leader="dot" w:pos="9015"/>
        </w:tabs>
        <w:rPr>
          <w:rFonts w:ascii="Verdana" w:hAnsi="Verdana"/>
          <w:noProof/>
          <w:kern w:val="2"/>
          <w14:ligatures w14:val="standardContextual"/>
        </w:rPr>
      </w:pPr>
      <w:hyperlink w:anchor="_Toc8688685">
        <w:r w:rsidRPr="136F3BEB">
          <w:rPr>
            <w:rStyle w:val="Hyperlink"/>
          </w:rPr>
          <w:t>5.1.1 East Kent ISH Services provided by KCHFT</w:t>
        </w:r>
        <w:r w:rsidR="00FB0E15">
          <w:tab/>
        </w:r>
        <w:r w:rsidR="00FB0E15">
          <w:fldChar w:fldCharType="begin"/>
        </w:r>
        <w:r w:rsidR="00FB0E15">
          <w:instrText>PAGEREF _Toc8688685 \h</w:instrText>
        </w:r>
        <w:r w:rsidR="00FB0E15">
          <w:fldChar w:fldCharType="separate"/>
        </w:r>
        <w:r w:rsidRPr="136F3BEB">
          <w:rPr>
            <w:rStyle w:val="Hyperlink"/>
          </w:rPr>
          <w:t>5</w:t>
        </w:r>
        <w:r w:rsidR="00FB0E15">
          <w:fldChar w:fldCharType="end"/>
        </w:r>
      </w:hyperlink>
    </w:p>
    <w:p w14:paraId="7886A227" w14:textId="77777777" w:rsidR="00356008" w:rsidRPr="006370CB" w:rsidRDefault="136F3BEB" w:rsidP="49636075">
      <w:pPr>
        <w:pStyle w:val="TOC2"/>
        <w:tabs>
          <w:tab w:val="right" w:leader="dot" w:pos="9015"/>
        </w:tabs>
        <w:rPr>
          <w:rFonts w:ascii="Verdana" w:hAnsi="Verdana"/>
          <w:noProof/>
          <w:kern w:val="2"/>
          <w14:ligatures w14:val="standardContextual"/>
        </w:rPr>
      </w:pPr>
      <w:hyperlink w:anchor="_Toc565613006">
        <w:r w:rsidRPr="136F3BEB">
          <w:rPr>
            <w:rStyle w:val="Hyperlink"/>
          </w:rPr>
          <w:t>5.1.2 North and West Kent ISH Services provided by MTW</w:t>
        </w:r>
        <w:r w:rsidR="00FB0E15">
          <w:tab/>
        </w:r>
        <w:r w:rsidR="00FB0E15">
          <w:fldChar w:fldCharType="begin"/>
        </w:r>
        <w:r w:rsidR="00FB0E15">
          <w:instrText>PAGEREF _Toc565613006 \h</w:instrText>
        </w:r>
        <w:r w:rsidR="00FB0E15">
          <w:fldChar w:fldCharType="separate"/>
        </w:r>
        <w:r w:rsidRPr="136F3BEB">
          <w:rPr>
            <w:rStyle w:val="Hyperlink"/>
          </w:rPr>
          <w:t>5</w:t>
        </w:r>
        <w:r w:rsidR="00FB0E15">
          <w:fldChar w:fldCharType="end"/>
        </w:r>
      </w:hyperlink>
    </w:p>
    <w:p w14:paraId="6007B5BE" w14:textId="77777777" w:rsidR="00356008" w:rsidRPr="006370CB" w:rsidRDefault="136F3BEB" w:rsidP="49636075">
      <w:pPr>
        <w:pStyle w:val="TOC2"/>
        <w:tabs>
          <w:tab w:val="right" w:leader="dot" w:pos="9015"/>
        </w:tabs>
        <w:rPr>
          <w:rFonts w:ascii="Verdana" w:hAnsi="Verdana"/>
          <w:noProof/>
          <w:kern w:val="2"/>
          <w14:ligatures w14:val="standardContextual"/>
        </w:rPr>
      </w:pPr>
      <w:hyperlink w:anchor="_Toc77644166">
        <w:r w:rsidRPr="136F3BEB">
          <w:rPr>
            <w:rStyle w:val="Hyperlink"/>
          </w:rPr>
          <w:t>5.1.3 Strengths of the Integrated Sexual Health Service</w:t>
        </w:r>
        <w:r w:rsidR="00FB0E15">
          <w:tab/>
        </w:r>
        <w:r w:rsidR="00FB0E15">
          <w:fldChar w:fldCharType="begin"/>
        </w:r>
        <w:r w:rsidR="00FB0E15">
          <w:instrText>PAGEREF _Toc77644166 \h</w:instrText>
        </w:r>
        <w:r w:rsidR="00FB0E15">
          <w:fldChar w:fldCharType="separate"/>
        </w:r>
        <w:r w:rsidRPr="136F3BEB">
          <w:rPr>
            <w:rStyle w:val="Hyperlink"/>
          </w:rPr>
          <w:t>5</w:t>
        </w:r>
        <w:r w:rsidR="00FB0E15">
          <w:fldChar w:fldCharType="end"/>
        </w:r>
      </w:hyperlink>
    </w:p>
    <w:p w14:paraId="22D4125E" w14:textId="77777777" w:rsidR="00356008" w:rsidRPr="006370CB" w:rsidRDefault="136F3BEB" w:rsidP="49636075">
      <w:pPr>
        <w:pStyle w:val="TOC2"/>
        <w:tabs>
          <w:tab w:val="right" w:leader="dot" w:pos="9015"/>
        </w:tabs>
        <w:rPr>
          <w:rFonts w:ascii="Verdana" w:hAnsi="Verdana"/>
          <w:noProof/>
          <w:kern w:val="2"/>
          <w14:ligatures w14:val="standardContextual"/>
        </w:rPr>
      </w:pPr>
      <w:hyperlink w:anchor="_Toc1682483619">
        <w:r w:rsidRPr="136F3BEB">
          <w:rPr>
            <w:rStyle w:val="Hyperlink"/>
          </w:rPr>
          <w:t>5.1.4 Recommendations for the Integrated Sexual health service</w:t>
        </w:r>
        <w:r w:rsidR="00FB0E15">
          <w:tab/>
        </w:r>
        <w:r w:rsidR="00FB0E15">
          <w:fldChar w:fldCharType="begin"/>
        </w:r>
        <w:r w:rsidR="00FB0E15">
          <w:instrText>PAGEREF _Toc1682483619 \h</w:instrText>
        </w:r>
        <w:r w:rsidR="00FB0E15">
          <w:fldChar w:fldCharType="separate"/>
        </w:r>
        <w:r w:rsidRPr="136F3BEB">
          <w:rPr>
            <w:rStyle w:val="Hyperlink"/>
          </w:rPr>
          <w:t>5</w:t>
        </w:r>
        <w:r w:rsidR="00FB0E15">
          <w:fldChar w:fldCharType="end"/>
        </w:r>
      </w:hyperlink>
    </w:p>
    <w:p w14:paraId="3CD1598B" w14:textId="77777777" w:rsidR="00356008" w:rsidRPr="006370CB" w:rsidRDefault="136F3BEB" w:rsidP="49636075">
      <w:pPr>
        <w:pStyle w:val="TOC2"/>
        <w:tabs>
          <w:tab w:val="right" w:leader="dot" w:pos="9015"/>
        </w:tabs>
        <w:rPr>
          <w:rFonts w:ascii="Verdana" w:hAnsi="Verdana"/>
          <w:noProof/>
          <w:kern w:val="2"/>
          <w14:ligatures w14:val="standardContextual"/>
        </w:rPr>
      </w:pPr>
      <w:hyperlink w:anchor="_Toc803764491">
        <w:r w:rsidRPr="136F3BEB">
          <w:rPr>
            <w:rStyle w:val="Hyperlink"/>
          </w:rPr>
          <w:t>5.2 Psychosexual Therapy</w:t>
        </w:r>
        <w:r w:rsidR="00FB0E15">
          <w:tab/>
        </w:r>
        <w:r w:rsidR="00FB0E15">
          <w:fldChar w:fldCharType="begin"/>
        </w:r>
        <w:r w:rsidR="00FB0E15">
          <w:instrText>PAGEREF _Toc803764491 \h</w:instrText>
        </w:r>
        <w:r w:rsidR="00FB0E15">
          <w:fldChar w:fldCharType="separate"/>
        </w:r>
        <w:r w:rsidRPr="136F3BEB">
          <w:rPr>
            <w:rStyle w:val="Hyperlink"/>
          </w:rPr>
          <w:t>5</w:t>
        </w:r>
        <w:r w:rsidR="00FB0E15">
          <w:fldChar w:fldCharType="end"/>
        </w:r>
      </w:hyperlink>
    </w:p>
    <w:p w14:paraId="46650894" w14:textId="77777777" w:rsidR="00356008" w:rsidRPr="006370CB" w:rsidRDefault="136F3BEB" w:rsidP="49636075">
      <w:pPr>
        <w:pStyle w:val="TOC2"/>
        <w:tabs>
          <w:tab w:val="right" w:leader="dot" w:pos="9015"/>
        </w:tabs>
        <w:rPr>
          <w:rFonts w:ascii="Verdana" w:hAnsi="Verdana"/>
          <w:noProof/>
          <w:kern w:val="2"/>
          <w14:ligatures w14:val="standardContextual"/>
        </w:rPr>
      </w:pPr>
      <w:hyperlink w:anchor="_Toc820484448">
        <w:r w:rsidRPr="136F3BEB">
          <w:rPr>
            <w:rStyle w:val="Hyperlink"/>
          </w:rPr>
          <w:t>5.2.1 Strengths of the Psychosexual Therapy Service</w:t>
        </w:r>
        <w:r w:rsidR="00FB0E15">
          <w:tab/>
        </w:r>
        <w:r w:rsidR="00FB0E15">
          <w:fldChar w:fldCharType="begin"/>
        </w:r>
        <w:r w:rsidR="00FB0E15">
          <w:instrText>PAGEREF _Toc820484448 \h</w:instrText>
        </w:r>
        <w:r w:rsidR="00FB0E15">
          <w:fldChar w:fldCharType="separate"/>
        </w:r>
        <w:r w:rsidRPr="136F3BEB">
          <w:rPr>
            <w:rStyle w:val="Hyperlink"/>
          </w:rPr>
          <w:t>6</w:t>
        </w:r>
        <w:r w:rsidR="00FB0E15">
          <w:fldChar w:fldCharType="end"/>
        </w:r>
      </w:hyperlink>
    </w:p>
    <w:p w14:paraId="2D0702DD" w14:textId="77777777" w:rsidR="00356008" w:rsidRPr="006370CB" w:rsidRDefault="136F3BEB" w:rsidP="49636075">
      <w:pPr>
        <w:pStyle w:val="TOC2"/>
        <w:tabs>
          <w:tab w:val="right" w:leader="dot" w:pos="9015"/>
        </w:tabs>
        <w:rPr>
          <w:rFonts w:ascii="Verdana" w:hAnsi="Verdana"/>
          <w:noProof/>
          <w:kern w:val="2"/>
          <w14:ligatures w14:val="standardContextual"/>
        </w:rPr>
      </w:pPr>
      <w:hyperlink w:anchor="_Toc472213927">
        <w:r w:rsidRPr="136F3BEB">
          <w:rPr>
            <w:rStyle w:val="Hyperlink"/>
          </w:rPr>
          <w:t>5.2.2 Possible Transformation Recommendations</w:t>
        </w:r>
        <w:r w:rsidR="00FB0E15">
          <w:tab/>
        </w:r>
        <w:r w:rsidR="00FB0E15">
          <w:fldChar w:fldCharType="begin"/>
        </w:r>
        <w:r w:rsidR="00FB0E15">
          <w:instrText>PAGEREF _Toc472213927 \h</w:instrText>
        </w:r>
        <w:r w:rsidR="00FB0E15">
          <w:fldChar w:fldCharType="separate"/>
        </w:r>
        <w:r w:rsidRPr="136F3BEB">
          <w:rPr>
            <w:rStyle w:val="Hyperlink"/>
          </w:rPr>
          <w:t>6</w:t>
        </w:r>
        <w:r w:rsidR="00FB0E15">
          <w:fldChar w:fldCharType="end"/>
        </w:r>
      </w:hyperlink>
    </w:p>
    <w:p w14:paraId="01059DBF" w14:textId="77777777" w:rsidR="00356008" w:rsidRPr="006370CB" w:rsidRDefault="136F3BEB" w:rsidP="136F3BEB">
      <w:pPr>
        <w:pStyle w:val="TOC2"/>
        <w:tabs>
          <w:tab w:val="right" w:leader="dot" w:pos="9015"/>
        </w:tabs>
        <w:rPr>
          <w:rFonts w:ascii="Verdana" w:hAnsi="Verdana" w:cstheme="minorBidi"/>
          <w:noProof/>
          <w:kern w:val="2"/>
          <w14:ligatures w14:val="standardContextual"/>
        </w:rPr>
      </w:pPr>
      <w:hyperlink w:anchor="_Toc598764879">
        <w:r w:rsidRPr="136F3BEB">
          <w:rPr>
            <w:rStyle w:val="Hyperlink"/>
          </w:rPr>
          <w:t>5.3 HIV Services</w:t>
        </w:r>
        <w:r w:rsidR="00FB0E15">
          <w:tab/>
        </w:r>
        <w:r w:rsidR="00FB0E15">
          <w:fldChar w:fldCharType="begin"/>
        </w:r>
        <w:r w:rsidR="00FB0E15">
          <w:instrText>PAGEREF _Toc598764879 \h</w:instrText>
        </w:r>
        <w:r w:rsidR="00FB0E15">
          <w:fldChar w:fldCharType="separate"/>
        </w:r>
        <w:r w:rsidRPr="136F3BEB">
          <w:rPr>
            <w:rStyle w:val="Hyperlink"/>
          </w:rPr>
          <w:t>6</w:t>
        </w:r>
        <w:r w:rsidR="00FB0E15">
          <w:fldChar w:fldCharType="end"/>
        </w:r>
      </w:hyperlink>
    </w:p>
    <w:p w14:paraId="4F816A79" w14:textId="77777777" w:rsidR="00356008" w:rsidRPr="006370CB" w:rsidRDefault="136F3BEB" w:rsidP="136F3BEB">
      <w:pPr>
        <w:pStyle w:val="TOC2"/>
        <w:tabs>
          <w:tab w:val="right" w:leader="dot" w:pos="9015"/>
        </w:tabs>
        <w:rPr>
          <w:rFonts w:ascii="Verdana" w:hAnsi="Verdana" w:cstheme="minorBidi"/>
          <w:noProof/>
          <w:kern w:val="2"/>
          <w:sz w:val="28"/>
          <w:szCs w:val="28"/>
          <w14:ligatures w14:val="standardContextual"/>
        </w:rPr>
      </w:pPr>
      <w:hyperlink w:anchor="_Toc1663967322">
        <w:r w:rsidRPr="136F3BEB">
          <w:rPr>
            <w:rStyle w:val="Hyperlink"/>
          </w:rPr>
          <w:t>5.3.1 Strengths of the HIV Services</w:t>
        </w:r>
        <w:r w:rsidR="00FB0E15">
          <w:tab/>
        </w:r>
        <w:r w:rsidR="00FB0E15">
          <w:fldChar w:fldCharType="begin"/>
        </w:r>
        <w:r w:rsidR="00FB0E15">
          <w:instrText>PAGEREF _Toc1663967322 \h</w:instrText>
        </w:r>
        <w:r w:rsidR="00FB0E15">
          <w:fldChar w:fldCharType="separate"/>
        </w:r>
        <w:r w:rsidRPr="136F3BEB">
          <w:rPr>
            <w:rStyle w:val="Hyperlink"/>
          </w:rPr>
          <w:t>8</w:t>
        </w:r>
        <w:r w:rsidR="00FB0E15">
          <w:fldChar w:fldCharType="end"/>
        </w:r>
      </w:hyperlink>
    </w:p>
    <w:p w14:paraId="32DE85BE" w14:textId="77777777" w:rsidR="00356008" w:rsidRPr="006370CB" w:rsidRDefault="136F3BEB" w:rsidP="49636075">
      <w:pPr>
        <w:pStyle w:val="TOC2"/>
        <w:tabs>
          <w:tab w:val="right" w:leader="dot" w:pos="9015"/>
        </w:tabs>
        <w:rPr>
          <w:rFonts w:ascii="Verdana" w:hAnsi="Verdana"/>
          <w:noProof/>
          <w:kern w:val="2"/>
          <w14:ligatures w14:val="standardContextual"/>
        </w:rPr>
      </w:pPr>
      <w:hyperlink w:anchor="_Toc916421659">
        <w:r w:rsidRPr="136F3BEB">
          <w:rPr>
            <w:rStyle w:val="Hyperlink"/>
          </w:rPr>
          <w:t>5.3.2 Possible Transformation Recommendations</w:t>
        </w:r>
        <w:r w:rsidR="00FB0E15">
          <w:tab/>
        </w:r>
        <w:r w:rsidR="00FB0E15">
          <w:fldChar w:fldCharType="begin"/>
        </w:r>
        <w:r w:rsidR="00FB0E15">
          <w:instrText>PAGEREF _Toc916421659 \h</w:instrText>
        </w:r>
        <w:r w:rsidR="00FB0E15">
          <w:fldChar w:fldCharType="separate"/>
        </w:r>
        <w:r w:rsidRPr="136F3BEB">
          <w:rPr>
            <w:rStyle w:val="Hyperlink"/>
          </w:rPr>
          <w:t>8</w:t>
        </w:r>
        <w:r w:rsidR="00FB0E15">
          <w:fldChar w:fldCharType="end"/>
        </w:r>
      </w:hyperlink>
    </w:p>
    <w:p w14:paraId="1DBD8A8A" w14:textId="77777777" w:rsidR="00356008" w:rsidRPr="006370CB" w:rsidRDefault="136F3BEB" w:rsidP="49636075">
      <w:pPr>
        <w:pStyle w:val="TOC2"/>
        <w:tabs>
          <w:tab w:val="right" w:leader="dot" w:pos="9015"/>
        </w:tabs>
        <w:rPr>
          <w:rFonts w:ascii="Verdana" w:hAnsi="Verdana"/>
          <w:noProof/>
          <w:kern w:val="2"/>
          <w14:ligatures w14:val="standardContextual"/>
        </w:rPr>
      </w:pPr>
      <w:hyperlink w:anchor="_Toc1573694923">
        <w:r w:rsidRPr="136F3BEB">
          <w:rPr>
            <w:rStyle w:val="Hyperlink"/>
          </w:rPr>
          <w:t>5.4 Online STI Testing</w:t>
        </w:r>
        <w:r w:rsidR="00FB0E15">
          <w:tab/>
        </w:r>
        <w:r w:rsidR="00FB0E15">
          <w:fldChar w:fldCharType="begin"/>
        </w:r>
        <w:r w:rsidR="00FB0E15">
          <w:instrText>PAGEREF _Toc1573694923 \h</w:instrText>
        </w:r>
        <w:r w:rsidR="00FB0E15">
          <w:fldChar w:fldCharType="separate"/>
        </w:r>
        <w:r w:rsidRPr="136F3BEB">
          <w:rPr>
            <w:rStyle w:val="Hyperlink"/>
          </w:rPr>
          <w:t>8</w:t>
        </w:r>
        <w:r w:rsidR="00FB0E15">
          <w:fldChar w:fldCharType="end"/>
        </w:r>
      </w:hyperlink>
    </w:p>
    <w:p w14:paraId="0B7892AC" w14:textId="77777777" w:rsidR="00356008" w:rsidRPr="006370CB" w:rsidRDefault="136F3BEB" w:rsidP="49636075">
      <w:pPr>
        <w:pStyle w:val="TOC2"/>
        <w:tabs>
          <w:tab w:val="right" w:leader="dot" w:pos="9015"/>
        </w:tabs>
        <w:rPr>
          <w:rFonts w:ascii="Verdana" w:hAnsi="Verdana"/>
          <w:noProof/>
          <w:kern w:val="2"/>
          <w14:ligatures w14:val="standardContextual"/>
        </w:rPr>
      </w:pPr>
      <w:hyperlink w:anchor="_Toc1331435144">
        <w:r w:rsidRPr="136F3BEB">
          <w:rPr>
            <w:rStyle w:val="Hyperlink"/>
          </w:rPr>
          <w:t>5.4.1 Strengths of the Online STI Testing Service</w:t>
        </w:r>
        <w:r w:rsidR="00FB0E15">
          <w:tab/>
        </w:r>
        <w:r w:rsidR="00FB0E15">
          <w:fldChar w:fldCharType="begin"/>
        </w:r>
        <w:r w:rsidR="00FB0E15">
          <w:instrText>PAGEREF _Toc1331435144 \h</w:instrText>
        </w:r>
        <w:r w:rsidR="00FB0E15">
          <w:fldChar w:fldCharType="separate"/>
        </w:r>
        <w:r w:rsidRPr="136F3BEB">
          <w:rPr>
            <w:rStyle w:val="Hyperlink"/>
          </w:rPr>
          <w:t>13</w:t>
        </w:r>
        <w:r w:rsidR="00FB0E15">
          <w:fldChar w:fldCharType="end"/>
        </w:r>
      </w:hyperlink>
    </w:p>
    <w:p w14:paraId="2B9F8F5A" w14:textId="77777777" w:rsidR="00356008" w:rsidRPr="006370CB" w:rsidRDefault="136F3BEB" w:rsidP="49636075">
      <w:pPr>
        <w:pStyle w:val="TOC2"/>
        <w:tabs>
          <w:tab w:val="right" w:leader="dot" w:pos="9015"/>
        </w:tabs>
        <w:rPr>
          <w:rFonts w:ascii="Verdana" w:hAnsi="Verdana"/>
          <w:noProof/>
          <w:kern w:val="2"/>
          <w14:ligatures w14:val="standardContextual"/>
        </w:rPr>
      </w:pPr>
      <w:hyperlink w:anchor="_Toc275873893">
        <w:r w:rsidRPr="136F3BEB">
          <w:rPr>
            <w:rStyle w:val="Hyperlink"/>
          </w:rPr>
          <w:t>5.4.2 Possible Transformation Recommendations</w:t>
        </w:r>
        <w:r w:rsidR="00FB0E15">
          <w:tab/>
        </w:r>
        <w:r w:rsidR="00FB0E15">
          <w:fldChar w:fldCharType="begin"/>
        </w:r>
        <w:r w:rsidR="00FB0E15">
          <w:instrText>PAGEREF _Toc275873893 \h</w:instrText>
        </w:r>
        <w:r w:rsidR="00FB0E15">
          <w:fldChar w:fldCharType="separate"/>
        </w:r>
        <w:r w:rsidRPr="136F3BEB">
          <w:rPr>
            <w:rStyle w:val="Hyperlink"/>
          </w:rPr>
          <w:t>13</w:t>
        </w:r>
        <w:r w:rsidR="00FB0E15">
          <w:fldChar w:fldCharType="end"/>
        </w:r>
      </w:hyperlink>
    </w:p>
    <w:p w14:paraId="234B3262" w14:textId="77777777" w:rsidR="00356008" w:rsidRPr="006370CB" w:rsidRDefault="136F3BEB" w:rsidP="136F3BEB">
      <w:pPr>
        <w:pStyle w:val="TOC2"/>
        <w:tabs>
          <w:tab w:val="right" w:leader="dot" w:pos="9015"/>
        </w:tabs>
        <w:rPr>
          <w:rFonts w:ascii="Verdana" w:hAnsi="Verdana" w:cstheme="minorBidi"/>
          <w:noProof/>
          <w:kern w:val="2"/>
          <w14:ligatures w14:val="standardContextual"/>
        </w:rPr>
      </w:pPr>
      <w:hyperlink w:anchor="_Toc176567617">
        <w:r w:rsidRPr="136F3BEB">
          <w:rPr>
            <w:rStyle w:val="Hyperlink"/>
          </w:rPr>
          <w:t>5.5 Pharmacy Sexual Health Services</w:t>
        </w:r>
        <w:r w:rsidR="00FB0E15">
          <w:tab/>
        </w:r>
        <w:r w:rsidR="00FB0E15">
          <w:fldChar w:fldCharType="begin"/>
        </w:r>
        <w:r w:rsidR="00FB0E15">
          <w:instrText>PAGEREF _Toc176567617 \h</w:instrText>
        </w:r>
        <w:r w:rsidR="00FB0E15">
          <w:fldChar w:fldCharType="separate"/>
        </w:r>
        <w:r w:rsidRPr="136F3BEB">
          <w:rPr>
            <w:rStyle w:val="Hyperlink"/>
          </w:rPr>
          <w:t>13</w:t>
        </w:r>
        <w:r w:rsidR="00FB0E15">
          <w:fldChar w:fldCharType="end"/>
        </w:r>
      </w:hyperlink>
    </w:p>
    <w:p w14:paraId="16D8A668" w14:textId="77777777" w:rsidR="00356008" w:rsidRPr="006370CB" w:rsidRDefault="136F3BEB" w:rsidP="49636075">
      <w:pPr>
        <w:pStyle w:val="TOC2"/>
        <w:tabs>
          <w:tab w:val="right" w:leader="dot" w:pos="9015"/>
        </w:tabs>
        <w:rPr>
          <w:rFonts w:ascii="Verdana" w:hAnsi="Verdana"/>
          <w:noProof/>
          <w:kern w:val="2"/>
          <w14:ligatures w14:val="standardContextual"/>
        </w:rPr>
      </w:pPr>
      <w:hyperlink w:anchor="_Toc199589182">
        <w:r w:rsidRPr="136F3BEB">
          <w:rPr>
            <w:rStyle w:val="Hyperlink"/>
          </w:rPr>
          <w:t>5.5.2 Strengths of the Pharmacy Sexual Health Service</w:t>
        </w:r>
        <w:r w:rsidR="00FB0E15">
          <w:tab/>
        </w:r>
        <w:r w:rsidR="00FB0E15">
          <w:fldChar w:fldCharType="begin"/>
        </w:r>
        <w:r w:rsidR="00FB0E15">
          <w:instrText>PAGEREF _Toc199589182 \h</w:instrText>
        </w:r>
        <w:r w:rsidR="00FB0E15">
          <w:fldChar w:fldCharType="separate"/>
        </w:r>
        <w:r w:rsidRPr="136F3BEB">
          <w:rPr>
            <w:rStyle w:val="Hyperlink"/>
          </w:rPr>
          <w:t>14</w:t>
        </w:r>
        <w:r w:rsidR="00FB0E15">
          <w:fldChar w:fldCharType="end"/>
        </w:r>
      </w:hyperlink>
    </w:p>
    <w:p w14:paraId="10749E3B" w14:textId="77777777" w:rsidR="00356008" w:rsidRPr="006370CB" w:rsidRDefault="136F3BEB" w:rsidP="49636075">
      <w:pPr>
        <w:pStyle w:val="TOC2"/>
        <w:tabs>
          <w:tab w:val="right" w:leader="dot" w:pos="9015"/>
        </w:tabs>
        <w:rPr>
          <w:rFonts w:ascii="Verdana" w:hAnsi="Verdana"/>
          <w:noProof/>
          <w:kern w:val="2"/>
          <w14:ligatures w14:val="standardContextual"/>
        </w:rPr>
      </w:pPr>
      <w:hyperlink w:anchor="_Toc1689449781">
        <w:r w:rsidRPr="136F3BEB">
          <w:rPr>
            <w:rStyle w:val="Hyperlink"/>
          </w:rPr>
          <w:t>5.5.3 Possible Transformation Recommendations</w:t>
        </w:r>
        <w:r w:rsidR="00FB0E15">
          <w:tab/>
        </w:r>
        <w:r w:rsidR="00FB0E15">
          <w:fldChar w:fldCharType="begin"/>
        </w:r>
        <w:r w:rsidR="00FB0E15">
          <w:instrText>PAGEREF _Toc1689449781 \h</w:instrText>
        </w:r>
        <w:r w:rsidR="00FB0E15">
          <w:fldChar w:fldCharType="separate"/>
        </w:r>
        <w:r w:rsidRPr="136F3BEB">
          <w:rPr>
            <w:rStyle w:val="Hyperlink"/>
          </w:rPr>
          <w:t>14</w:t>
        </w:r>
        <w:r w:rsidR="00FB0E15">
          <w:fldChar w:fldCharType="end"/>
        </w:r>
      </w:hyperlink>
    </w:p>
    <w:p w14:paraId="64E6E49F" w14:textId="77777777" w:rsidR="00356008" w:rsidRPr="006370CB" w:rsidRDefault="136F3BEB" w:rsidP="136F3BEB">
      <w:pPr>
        <w:pStyle w:val="TOC2"/>
        <w:tabs>
          <w:tab w:val="right" w:leader="dot" w:pos="9015"/>
        </w:tabs>
        <w:rPr>
          <w:rFonts w:ascii="Verdana" w:hAnsi="Verdana" w:cstheme="minorBidi"/>
          <w:noProof/>
          <w:kern w:val="2"/>
          <w14:ligatures w14:val="standardContextual"/>
        </w:rPr>
      </w:pPr>
      <w:hyperlink w:anchor="_Toc1047864675">
        <w:r w:rsidRPr="136F3BEB">
          <w:rPr>
            <w:rStyle w:val="Hyperlink"/>
          </w:rPr>
          <w:t>5.6 Get It Condom Programme</w:t>
        </w:r>
        <w:r w:rsidR="00FB0E15">
          <w:tab/>
        </w:r>
        <w:r w:rsidR="00FB0E15">
          <w:fldChar w:fldCharType="begin"/>
        </w:r>
        <w:r w:rsidR="00FB0E15">
          <w:instrText>PAGEREF _Toc1047864675 \h</w:instrText>
        </w:r>
        <w:r w:rsidR="00FB0E15">
          <w:fldChar w:fldCharType="separate"/>
        </w:r>
        <w:r w:rsidRPr="136F3BEB">
          <w:rPr>
            <w:rStyle w:val="Hyperlink"/>
          </w:rPr>
          <w:t>14</w:t>
        </w:r>
        <w:r w:rsidR="00FB0E15">
          <w:fldChar w:fldCharType="end"/>
        </w:r>
      </w:hyperlink>
    </w:p>
    <w:p w14:paraId="08DD8188" w14:textId="77777777" w:rsidR="00356008" w:rsidRPr="006370CB" w:rsidRDefault="136F3BEB" w:rsidP="49636075">
      <w:pPr>
        <w:pStyle w:val="TOC2"/>
        <w:tabs>
          <w:tab w:val="right" w:leader="dot" w:pos="9015"/>
        </w:tabs>
        <w:rPr>
          <w:rFonts w:ascii="Verdana" w:hAnsi="Verdana"/>
          <w:noProof/>
          <w:kern w:val="2"/>
          <w14:ligatures w14:val="standardContextual"/>
        </w:rPr>
      </w:pPr>
      <w:hyperlink w:anchor="_Toc1983947047">
        <w:r w:rsidRPr="136F3BEB">
          <w:rPr>
            <w:rStyle w:val="Hyperlink"/>
          </w:rPr>
          <w:t>5.6.1 Strengths of the Condom Programme</w:t>
        </w:r>
        <w:r w:rsidR="00FB0E15">
          <w:tab/>
        </w:r>
        <w:r w:rsidR="00FB0E15">
          <w:fldChar w:fldCharType="begin"/>
        </w:r>
        <w:r w:rsidR="00FB0E15">
          <w:instrText>PAGEREF _Toc1983947047 \h</w:instrText>
        </w:r>
        <w:r w:rsidR="00FB0E15">
          <w:fldChar w:fldCharType="separate"/>
        </w:r>
        <w:r w:rsidRPr="136F3BEB">
          <w:rPr>
            <w:rStyle w:val="Hyperlink"/>
          </w:rPr>
          <w:t>14</w:t>
        </w:r>
        <w:r w:rsidR="00FB0E15">
          <w:fldChar w:fldCharType="end"/>
        </w:r>
      </w:hyperlink>
    </w:p>
    <w:p w14:paraId="34BEE2BF" w14:textId="77777777" w:rsidR="00356008" w:rsidRPr="006370CB" w:rsidRDefault="136F3BEB" w:rsidP="49636075">
      <w:pPr>
        <w:pStyle w:val="TOC2"/>
        <w:tabs>
          <w:tab w:val="right" w:leader="dot" w:pos="9015"/>
        </w:tabs>
        <w:rPr>
          <w:rFonts w:ascii="Verdana" w:hAnsi="Verdana"/>
          <w:noProof/>
          <w:kern w:val="2"/>
          <w14:ligatures w14:val="standardContextual"/>
        </w:rPr>
      </w:pPr>
      <w:hyperlink w:anchor="_Toc1956880559">
        <w:r w:rsidRPr="136F3BEB">
          <w:rPr>
            <w:rStyle w:val="Hyperlink"/>
          </w:rPr>
          <w:t>5.6.2 Possible Transformation Recommendations</w:t>
        </w:r>
        <w:r w:rsidR="00FB0E15">
          <w:tab/>
        </w:r>
        <w:r w:rsidR="00FB0E15">
          <w:fldChar w:fldCharType="begin"/>
        </w:r>
        <w:r w:rsidR="00FB0E15">
          <w:instrText>PAGEREF _Toc1956880559 \h</w:instrText>
        </w:r>
        <w:r w:rsidR="00FB0E15">
          <w:fldChar w:fldCharType="separate"/>
        </w:r>
        <w:r w:rsidRPr="136F3BEB">
          <w:rPr>
            <w:rStyle w:val="Hyperlink"/>
          </w:rPr>
          <w:t>14</w:t>
        </w:r>
        <w:r w:rsidR="00FB0E15">
          <w:fldChar w:fldCharType="end"/>
        </w:r>
      </w:hyperlink>
    </w:p>
    <w:p w14:paraId="1A0D96E6" w14:textId="77777777" w:rsidR="00356008" w:rsidRPr="006370CB" w:rsidRDefault="136F3BEB" w:rsidP="136F3BEB">
      <w:pPr>
        <w:pStyle w:val="TOC2"/>
        <w:tabs>
          <w:tab w:val="right" w:leader="dot" w:pos="9015"/>
        </w:tabs>
        <w:rPr>
          <w:rFonts w:ascii="Verdana" w:hAnsi="Verdana" w:cstheme="minorBidi"/>
          <w:noProof/>
          <w:kern w:val="2"/>
          <w14:ligatures w14:val="standardContextual"/>
        </w:rPr>
      </w:pPr>
      <w:hyperlink w:anchor="_Toc2144664619">
        <w:r w:rsidRPr="136F3BEB">
          <w:rPr>
            <w:rStyle w:val="Hyperlink"/>
          </w:rPr>
          <w:t>5.7 Long-Acting Reversible Contraception (LARC) Services</w:t>
        </w:r>
        <w:r w:rsidR="00FB0E15">
          <w:tab/>
        </w:r>
        <w:r w:rsidR="00FB0E15">
          <w:fldChar w:fldCharType="begin"/>
        </w:r>
        <w:r w:rsidR="00FB0E15">
          <w:instrText>PAGEREF _Toc2144664619 \h</w:instrText>
        </w:r>
        <w:r w:rsidR="00FB0E15">
          <w:fldChar w:fldCharType="separate"/>
        </w:r>
        <w:r w:rsidRPr="136F3BEB">
          <w:rPr>
            <w:rStyle w:val="Hyperlink"/>
          </w:rPr>
          <w:t>14</w:t>
        </w:r>
        <w:r w:rsidR="00FB0E15">
          <w:fldChar w:fldCharType="end"/>
        </w:r>
      </w:hyperlink>
    </w:p>
    <w:p w14:paraId="1662C368" w14:textId="77777777" w:rsidR="00356008" w:rsidRPr="006370CB" w:rsidRDefault="136F3BEB" w:rsidP="49636075">
      <w:pPr>
        <w:pStyle w:val="TOC2"/>
        <w:tabs>
          <w:tab w:val="right" w:leader="dot" w:pos="9015"/>
        </w:tabs>
        <w:rPr>
          <w:rFonts w:ascii="Verdana" w:hAnsi="Verdana"/>
          <w:noProof/>
          <w:kern w:val="2"/>
          <w14:ligatures w14:val="standardContextual"/>
        </w:rPr>
      </w:pPr>
      <w:hyperlink w:anchor="_Toc1231046910">
        <w:r w:rsidRPr="136F3BEB">
          <w:rPr>
            <w:rStyle w:val="Hyperlink"/>
          </w:rPr>
          <w:t>5.7.1 Strengths of the LARC Services</w:t>
        </w:r>
        <w:r w:rsidR="00FB0E15">
          <w:tab/>
        </w:r>
        <w:r w:rsidR="00FB0E15">
          <w:fldChar w:fldCharType="begin"/>
        </w:r>
        <w:r w:rsidR="00FB0E15">
          <w:instrText>PAGEREF _Toc1231046910 \h</w:instrText>
        </w:r>
        <w:r w:rsidR="00FB0E15">
          <w:fldChar w:fldCharType="separate"/>
        </w:r>
        <w:r w:rsidRPr="136F3BEB">
          <w:rPr>
            <w:rStyle w:val="Hyperlink"/>
          </w:rPr>
          <w:t>16</w:t>
        </w:r>
        <w:r w:rsidR="00FB0E15">
          <w:fldChar w:fldCharType="end"/>
        </w:r>
      </w:hyperlink>
    </w:p>
    <w:p w14:paraId="65EF3C0E" w14:textId="77777777" w:rsidR="00356008" w:rsidRPr="006370CB" w:rsidRDefault="136F3BEB" w:rsidP="49636075">
      <w:pPr>
        <w:pStyle w:val="TOC2"/>
        <w:tabs>
          <w:tab w:val="right" w:leader="dot" w:pos="9015"/>
        </w:tabs>
        <w:rPr>
          <w:rFonts w:ascii="Verdana" w:hAnsi="Verdana"/>
          <w:noProof/>
          <w:kern w:val="2"/>
          <w14:ligatures w14:val="standardContextual"/>
        </w:rPr>
      </w:pPr>
      <w:hyperlink w:anchor="_Toc477299483">
        <w:r w:rsidRPr="136F3BEB">
          <w:rPr>
            <w:rStyle w:val="Hyperlink"/>
          </w:rPr>
          <w:t>5.7.2 Possible Transformation Recommendations</w:t>
        </w:r>
        <w:r w:rsidR="00FB0E15">
          <w:tab/>
        </w:r>
        <w:r w:rsidR="00FB0E15">
          <w:fldChar w:fldCharType="begin"/>
        </w:r>
        <w:r w:rsidR="00FB0E15">
          <w:instrText>PAGEREF _Toc477299483 \h</w:instrText>
        </w:r>
        <w:r w:rsidR="00FB0E15">
          <w:fldChar w:fldCharType="separate"/>
        </w:r>
        <w:r w:rsidRPr="136F3BEB">
          <w:rPr>
            <w:rStyle w:val="Hyperlink"/>
          </w:rPr>
          <w:t>16</w:t>
        </w:r>
        <w:r w:rsidR="00FB0E15">
          <w:fldChar w:fldCharType="end"/>
        </w:r>
      </w:hyperlink>
    </w:p>
    <w:p w14:paraId="25DFC5AC" w14:textId="77777777" w:rsidR="00356008" w:rsidRPr="006370CB" w:rsidRDefault="136F3BEB" w:rsidP="136F3BEB">
      <w:pPr>
        <w:pStyle w:val="TOC2"/>
        <w:tabs>
          <w:tab w:val="right" w:leader="dot" w:pos="9015"/>
        </w:tabs>
        <w:rPr>
          <w:rFonts w:ascii="Verdana" w:hAnsi="Verdana" w:cstheme="minorBidi"/>
          <w:noProof/>
          <w:kern w:val="2"/>
          <w14:ligatures w14:val="standardContextual"/>
        </w:rPr>
      </w:pPr>
      <w:hyperlink w:anchor="_Toc1617672479">
        <w:r w:rsidRPr="136F3BEB">
          <w:rPr>
            <w:rStyle w:val="Hyperlink"/>
          </w:rPr>
          <w:t>5.8 Out of Area</w:t>
        </w:r>
        <w:r w:rsidR="00FB0E15">
          <w:tab/>
        </w:r>
        <w:r w:rsidR="00FB0E15">
          <w:fldChar w:fldCharType="begin"/>
        </w:r>
        <w:r w:rsidR="00FB0E15">
          <w:instrText>PAGEREF _Toc1617672479 \h</w:instrText>
        </w:r>
        <w:r w:rsidR="00FB0E15">
          <w:fldChar w:fldCharType="separate"/>
        </w:r>
        <w:r w:rsidRPr="136F3BEB">
          <w:rPr>
            <w:rStyle w:val="Hyperlink"/>
          </w:rPr>
          <w:t>16</w:t>
        </w:r>
        <w:r w:rsidR="00FB0E15">
          <w:fldChar w:fldCharType="end"/>
        </w:r>
      </w:hyperlink>
    </w:p>
    <w:p w14:paraId="14AF1022" w14:textId="77777777" w:rsidR="00356008" w:rsidRPr="006370CB" w:rsidRDefault="136F3BEB" w:rsidP="49636075">
      <w:pPr>
        <w:pStyle w:val="TOC2"/>
        <w:tabs>
          <w:tab w:val="right" w:leader="dot" w:pos="9015"/>
        </w:tabs>
        <w:rPr>
          <w:rFonts w:ascii="Verdana" w:hAnsi="Verdana"/>
          <w:noProof/>
          <w:kern w:val="2"/>
          <w14:ligatures w14:val="standardContextual"/>
        </w:rPr>
      </w:pPr>
      <w:hyperlink w:anchor="_Toc1917965805">
        <w:r w:rsidRPr="136F3BEB">
          <w:rPr>
            <w:rStyle w:val="Hyperlink"/>
          </w:rPr>
          <w:t>5.8.1 Possible Transformation Recommendations</w:t>
        </w:r>
        <w:r w:rsidR="00FB0E15">
          <w:tab/>
        </w:r>
        <w:r w:rsidR="00FB0E15">
          <w:fldChar w:fldCharType="begin"/>
        </w:r>
        <w:r w:rsidR="00FB0E15">
          <w:instrText>PAGEREF _Toc1917965805 \h</w:instrText>
        </w:r>
        <w:r w:rsidR="00FB0E15">
          <w:fldChar w:fldCharType="separate"/>
        </w:r>
        <w:r w:rsidRPr="136F3BEB">
          <w:rPr>
            <w:rStyle w:val="Hyperlink"/>
          </w:rPr>
          <w:t>16</w:t>
        </w:r>
        <w:r w:rsidR="00FB0E15">
          <w:fldChar w:fldCharType="end"/>
        </w:r>
      </w:hyperlink>
    </w:p>
    <w:p w14:paraId="1B0AA81E" w14:textId="77777777" w:rsidR="00356008" w:rsidRPr="006370CB" w:rsidRDefault="136F3BEB" w:rsidP="49636075">
      <w:pPr>
        <w:pStyle w:val="TOC2"/>
        <w:tabs>
          <w:tab w:val="right" w:leader="dot" w:pos="9015"/>
        </w:tabs>
        <w:rPr>
          <w:rFonts w:ascii="Verdana" w:hAnsi="Verdana"/>
          <w:noProof/>
          <w:kern w:val="2"/>
          <w14:ligatures w14:val="standardContextual"/>
        </w:rPr>
      </w:pPr>
      <w:hyperlink w:anchor="_Toc1231755506">
        <w:r w:rsidRPr="136F3BEB">
          <w:rPr>
            <w:rStyle w:val="Hyperlink"/>
          </w:rPr>
          <w:t>5.9 General Transformation Recommendations Applying to All Sexual Health Services</w:t>
        </w:r>
        <w:r w:rsidR="00FB0E15">
          <w:tab/>
        </w:r>
        <w:r w:rsidR="00FB0E15">
          <w:fldChar w:fldCharType="begin"/>
        </w:r>
        <w:r w:rsidR="00FB0E15">
          <w:instrText>PAGEREF _Toc1231755506 \h</w:instrText>
        </w:r>
        <w:r w:rsidR="00FB0E15">
          <w:fldChar w:fldCharType="separate"/>
        </w:r>
        <w:r w:rsidRPr="136F3BEB">
          <w:rPr>
            <w:rStyle w:val="Hyperlink"/>
          </w:rPr>
          <w:t>16</w:t>
        </w:r>
        <w:r w:rsidR="00FB0E15">
          <w:fldChar w:fldCharType="end"/>
        </w:r>
      </w:hyperlink>
    </w:p>
    <w:p w14:paraId="02E0507B" w14:textId="77777777" w:rsidR="00356008" w:rsidRPr="006370CB" w:rsidRDefault="136F3BEB" w:rsidP="136F3BEB">
      <w:pPr>
        <w:pStyle w:val="TOC1"/>
        <w:tabs>
          <w:tab w:val="right" w:leader="dot" w:pos="9015"/>
        </w:tabs>
        <w:rPr>
          <w:rFonts w:ascii="Verdana" w:hAnsi="Verdana" w:cstheme="minorBidi"/>
          <w:noProof/>
          <w:kern w:val="2"/>
          <w14:ligatures w14:val="standardContextual"/>
        </w:rPr>
      </w:pPr>
      <w:hyperlink w:anchor="_Toc810169679">
        <w:r w:rsidRPr="136F3BEB">
          <w:rPr>
            <w:rStyle w:val="Hyperlink"/>
          </w:rPr>
          <w:t>6.NICE Quality Standards for Sexual Health</w:t>
        </w:r>
        <w:r w:rsidR="00FB0E15">
          <w:tab/>
        </w:r>
        <w:r w:rsidR="00FB0E15">
          <w:fldChar w:fldCharType="begin"/>
        </w:r>
        <w:r w:rsidR="00FB0E15">
          <w:instrText>PAGEREF _Toc810169679 \h</w:instrText>
        </w:r>
        <w:r w:rsidR="00FB0E15">
          <w:fldChar w:fldCharType="separate"/>
        </w:r>
        <w:r w:rsidRPr="136F3BEB">
          <w:rPr>
            <w:rStyle w:val="Hyperlink"/>
          </w:rPr>
          <w:t>16</w:t>
        </w:r>
        <w:r w:rsidR="00FB0E15">
          <w:fldChar w:fldCharType="end"/>
        </w:r>
      </w:hyperlink>
    </w:p>
    <w:p w14:paraId="727C4065" w14:textId="77777777" w:rsidR="00356008" w:rsidRPr="006370CB" w:rsidRDefault="136F3BEB" w:rsidP="49636075">
      <w:pPr>
        <w:pStyle w:val="TOC2"/>
        <w:tabs>
          <w:tab w:val="right" w:leader="dot" w:pos="9015"/>
        </w:tabs>
        <w:rPr>
          <w:rFonts w:ascii="Verdana" w:hAnsi="Verdana"/>
          <w:noProof/>
          <w:kern w:val="2"/>
          <w14:ligatures w14:val="standardContextual"/>
        </w:rPr>
      </w:pPr>
      <w:hyperlink w:anchor="_Toc951318969">
        <w:r w:rsidRPr="136F3BEB">
          <w:rPr>
            <w:rStyle w:val="Hyperlink"/>
          </w:rPr>
          <w:t>7. STI Prioritisation Framework</w:t>
        </w:r>
        <w:r w:rsidR="00FB0E15">
          <w:tab/>
        </w:r>
        <w:r w:rsidR="00FB0E15">
          <w:fldChar w:fldCharType="begin"/>
        </w:r>
        <w:r w:rsidR="00FB0E15">
          <w:instrText>PAGEREF _Toc951318969 \h</w:instrText>
        </w:r>
        <w:r w:rsidR="00FB0E15">
          <w:fldChar w:fldCharType="separate"/>
        </w:r>
        <w:r w:rsidRPr="136F3BEB">
          <w:rPr>
            <w:rStyle w:val="Hyperlink"/>
          </w:rPr>
          <w:t>16</w:t>
        </w:r>
        <w:r w:rsidR="00FB0E15">
          <w:fldChar w:fldCharType="end"/>
        </w:r>
      </w:hyperlink>
    </w:p>
    <w:p w14:paraId="23BF4800" w14:textId="77777777" w:rsidR="00356008" w:rsidRPr="006370CB" w:rsidRDefault="136F3BEB" w:rsidP="136F3BEB">
      <w:pPr>
        <w:pStyle w:val="TOC1"/>
        <w:tabs>
          <w:tab w:val="right" w:leader="dot" w:pos="9015"/>
        </w:tabs>
        <w:rPr>
          <w:rFonts w:ascii="Verdana" w:hAnsi="Verdana"/>
          <w:noProof/>
          <w:kern w:val="2"/>
          <w14:ligatures w14:val="standardContextual"/>
        </w:rPr>
      </w:pPr>
      <w:hyperlink w:anchor="_Toc1233264568">
        <w:r w:rsidRPr="136F3BEB">
          <w:rPr>
            <w:rStyle w:val="Hyperlink"/>
          </w:rPr>
          <w:t>8. Insights from local communities, service users and residents</w:t>
        </w:r>
        <w:r w:rsidR="00FB0E15">
          <w:tab/>
        </w:r>
        <w:r w:rsidR="00FB0E15">
          <w:fldChar w:fldCharType="begin"/>
        </w:r>
        <w:r w:rsidR="00FB0E15">
          <w:instrText>PAGEREF _Toc1233264568 \h</w:instrText>
        </w:r>
        <w:r w:rsidR="00FB0E15">
          <w:fldChar w:fldCharType="separate"/>
        </w:r>
        <w:r w:rsidRPr="136F3BEB">
          <w:rPr>
            <w:rStyle w:val="Hyperlink"/>
          </w:rPr>
          <w:t>16</w:t>
        </w:r>
        <w:r w:rsidR="00FB0E15">
          <w:fldChar w:fldCharType="end"/>
        </w:r>
      </w:hyperlink>
    </w:p>
    <w:p w14:paraId="7C39E25E" w14:textId="77777777" w:rsidR="00356008" w:rsidRPr="006370CB" w:rsidRDefault="136F3BEB" w:rsidP="136F3BEB">
      <w:pPr>
        <w:pStyle w:val="TOC2"/>
        <w:tabs>
          <w:tab w:val="right" w:leader="dot" w:pos="9015"/>
        </w:tabs>
        <w:rPr>
          <w:rFonts w:ascii="Verdana" w:hAnsi="Verdana" w:cstheme="minorBidi"/>
          <w:noProof/>
          <w:kern w:val="2"/>
          <w14:ligatures w14:val="standardContextual"/>
        </w:rPr>
      </w:pPr>
      <w:hyperlink w:anchor="_Toc865009525">
        <w:r w:rsidRPr="136F3BEB">
          <w:rPr>
            <w:rStyle w:val="Hyperlink"/>
          </w:rPr>
          <w:t>8.1 31ten</w:t>
        </w:r>
        <w:r w:rsidR="00FB0E15">
          <w:tab/>
        </w:r>
        <w:r w:rsidR="00FB0E15">
          <w:fldChar w:fldCharType="begin"/>
        </w:r>
        <w:r w:rsidR="00FB0E15">
          <w:instrText>PAGEREF _Toc865009525 \h</w:instrText>
        </w:r>
        <w:r w:rsidR="00FB0E15">
          <w:fldChar w:fldCharType="separate"/>
        </w:r>
        <w:r w:rsidRPr="136F3BEB">
          <w:rPr>
            <w:rStyle w:val="Hyperlink"/>
          </w:rPr>
          <w:t>16</w:t>
        </w:r>
        <w:r w:rsidR="00FB0E15">
          <w:fldChar w:fldCharType="end"/>
        </w:r>
      </w:hyperlink>
    </w:p>
    <w:p w14:paraId="53AE1D18" w14:textId="77777777" w:rsidR="00356008" w:rsidRPr="006370CB" w:rsidRDefault="136F3BEB" w:rsidP="49636075">
      <w:pPr>
        <w:pStyle w:val="TOC2"/>
        <w:tabs>
          <w:tab w:val="right" w:leader="dot" w:pos="9015"/>
        </w:tabs>
        <w:rPr>
          <w:rFonts w:ascii="Verdana" w:hAnsi="Verdana"/>
          <w:noProof/>
          <w:kern w:val="2"/>
          <w14:ligatures w14:val="standardContextual"/>
        </w:rPr>
      </w:pPr>
      <w:hyperlink w:anchor="_Toc1834428157">
        <w:r w:rsidRPr="136F3BEB">
          <w:rPr>
            <w:rStyle w:val="Hyperlink"/>
          </w:rPr>
          <w:t>8.2 NATSAL</w:t>
        </w:r>
        <w:r w:rsidR="00FB0E15">
          <w:tab/>
        </w:r>
        <w:r w:rsidR="00FB0E15">
          <w:fldChar w:fldCharType="begin"/>
        </w:r>
        <w:r w:rsidR="00FB0E15">
          <w:instrText>PAGEREF _Toc1834428157 \h</w:instrText>
        </w:r>
        <w:r w:rsidR="00FB0E15">
          <w:fldChar w:fldCharType="separate"/>
        </w:r>
        <w:r w:rsidRPr="136F3BEB">
          <w:rPr>
            <w:rStyle w:val="Hyperlink"/>
          </w:rPr>
          <w:t>16</w:t>
        </w:r>
        <w:r w:rsidR="00FB0E15">
          <w:fldChar w:fldCharType="end"/>
        </w:r>
      </w:hyperlink>
    </w:p>
    <w:p w14:paraId="599EFFC1" w14:textId="77777777" w:rsidR="00356008" w:rsidRPr="006370CB" w:rsidRDefault="136F3BEB" w:rsidP="49636075">
      <w:pPr>
        <w:pStyle w:val="TOC2"/>
        <w:tabs>
          <w:tab w:val="right" w:leader="dot" w:pos="9015"/>
        </w:tabs>
        <w:rPr>
          <w:rFonts w:ascii="Verdana" w:hAnsi="Verdana"/>
          <w:noProof/>
          <w:kern w:val="2"/>
          <w14:ligatures w14:val="standardContextual"/>
        </w:rPr>
      </w:pPr>
      <w:hyperlink w:anchor="_Toc942315140">
        <w:r w:rsidRPr="136F3BEB">
          <w:rPr>
            <w:rStyle w:val="Hyperlink"/>
          </w:rPr>
          <w:t>8.3 Metro Charity Young People’s survey</w:t>
        </w:r>
        <w:r w:rsidR="00FB0E15">
          <w:tab/>
        </w:r>
        <w:r w:rsidR="00FB0E15">
          <w:fldChar w:fldCharType="begin"/>
        </w:r>
        <w:r w:rsidR="00FB0E15">
          <w:instrText>PAGEREF _Toc942315140 \h</w:instrText>
        </w:r>
        <w:r w:rsidR="00FB0E15">
          <w:fldChar w:fldCharType="separate"/>
        </w:r>
        <w:r w:rsidRPr="136F3BEB">
          <w:rPr>
            <w:rStyle w:val="Hyperlink"/>
          </w:rPr>
          <w:t>16</w:t>
        </w:r>
        <w:r w:rsidR="00FB0E15">
          <w:fldChar w:fldCharType="end"/>
        </w:r>
      </w:hyperlink>
    </w:p>
    <w:p w14:paraId="43C66761" w14:textId="77777777" w:rsidR="00356008" w:rsidRPr="006370CB" w:rsidRDefault="136F3BEB" w:rsidP="136F3BEB">
      <w:pPr>
        <w:pStyle w:val="TOC1"/>
        <w:tabs>
          <w:tab w:val="right" w:leader="dot" w:pos="9015"/>
        </w:tabs>
        <w:rPr>
          <w:rFonts w:ascii="Verdana" w:hAnsi="Verdana" w:cstheme="minorBidi"/>
          <w:noProof/>
          <w:kern w:val="2"/>
          <w14:ligatures w14:val="standardContextual"/>
        </w:rPr>
      </w:pPr>
      <w:hyperlink w:anchor="_Toc360642287">
        <w:r w:rsidRPr="136F3BEB">
          <w:rPr>
            <w:rStyle w:val="Hyperlink"/>
          </w:rPr>
          <w:t>9. Future Research Needs</w:t>
        </w:r>
        <w:r w:rsidR="00FB0E15">
          <w:tab/>
        </w:r>
        <w:r w:rsidR="00FB0E15">
          <w:fldChar w:fldCharType="begin"/>
        </w:r>
        <w:r w:rsidR="00FB0E15">
          <w:instrText>PAGEREF _Toc360642287 \h</w:instrText>
        </w:r>
        <w:r w:rsidR="00FB0E15">
          <w:fldChar w:fldCharType="separate"/>
        </w:r>
        <w:r w:rsidRPr="136F3BEB">
          <w:rPr>
            <w:rStyle w:val="Hyperlink"/>
          </w:rPr>
          <w:t>16</w:t>
        </w:r>
        <w:r w:rsidR="00FB0E15">
          <w:fldChar w:fldCharType="end"/>
        </w:r>
      </w:hyperlink>
    </w:p>
    <w:p w14:paraId="2D78CD08" w14:textId="77777777" w:rsidR="00356008" w:rsidRPr="006370CB" w:rsidRDefault="136F3BEB" w:rsidP="136F3BEB">
      <w:pPr>
        <w:pStyle w:val="TOC1"/>
        <w:tabs>
          <w:tab w:val="right" w:leader="dot" w:pos="9015"/>
        </w:tabs>
        <w:rPr>
          <w:rFonts w:ascii="Verdana" w:hAnsi="Verdana"/>
          <w:noProof/>
          <w:kern w:val="2"/>
          <w14:ligatures w14:val="standardContextual"/>
        </w:rPr>
      </w:pPr>
      <w:hyperlink w:anchor="_Toc1722686660">
        <w:r w:rsidRPr="136F3BEB">
          <w:rPr>
            <w:rStyle w:val="Hyperlink"/>
          </w:rPr>
          <w:t>10.Exploring other models in the UK</w:t>
        </w:r>
        <w:r w:rsidR="00FB0E15">
          <w:tab/>
        </w:r>
        <w:r w:rsidR="00FB0E15">
          <w:fldChar w:fldCharType="begin"/>
        </w:r>
        <w:r w:rsidR="00FB0E15">
          <w:instrText>PAGEREF _Toc1722686660 \h</w:instrText>
        </w:r>
        <w:r w:rsidR="00FB0E15">
          <w:fldChar w:fldCharType="separate"/>
        </w:r>
        <w:r w:rsidRPr="136F3BEB">
          <w:rPr>
            <w:rStyle w:val="Hyperlink"/>
          </w:rPr>
          <w:t>16</w:t>
        </w:r>
        <w:r w:rsidR="00FB0E15">
          <w:fldChar w:fldCharType="end"/>
        </w:r>
      </w:hyperlink>
    </w:p>
    <w:p w14:paraId="0E5E68C0" w14:textId="77777777" w:rsidR="00356008" w:rsidRPr="006370CB" w:rsidRDefault="136F3BEB" w:rsidP="136F3BEB">
      <w:pPr>
        <w:pStyle w:val="TOC2"/>
        <w:tabs>
          <w:tab w:val="right" w:leader="dot" w:pos="9015"/>
        </w:tabs>
        <w:rPr>
          <w:rFonts w:ascii="Verdana" w:hAnsi="Verdana" w:cstheme="minorBidi"/>
          <w:noProof/>
          <w:kern w:val="2"/>
          <w14:ligatures w14:val="standardContextual"/>
        </w:rPr>
      </w:pPr>
      <w:hyperlink w:anchor="_Toc2011779803">
        <w:r w:rsidRPr="136F3BEB">
          <w:rPr>
            <w:rStyle w:val="Hyperlink"/>
          </w:rPr>
          <w:t>10.1 Women’s Health Hubs in Liverpool</w:t>
        </w:r>
        <w:r w:rsidR="00FB0E15">
          <w:tab/>
        </w:r>
        <w:r w:rsidR="00FB0E15">
          <w:fldChar w:fldCharType="begin"/>
        </w:r>
        <w:r w:rsidR="00FB0E15">
          <w:instrText>PAGEREF _Toc2011779803 \h</w:instrText>
        </w:r>
        <w:r w:rsidR="00FB0E15">
          <w:fldChar w:fldCharType="separate"/>
        </w:r>
        <w:r w:rsidRPr="136F3BEB">
          <w:rPr>
            <w:rStyle w:val="Hyperlink"/>
          </w:rPr>
          <w:t>16</w:t>
        </w:r>
        <w:r w:rsidR="00FB0E15">
          <w:fldChar w:fldCharType="end"/>
        </w:r>
      </w:hyperlink>
    </w:p>
    <w:p w14:paraId="56E5541B" w14:textId="77777777" w:rsidR="00356008" w:rsidRPr="006370CB" w:rsidRDefault="136F3BEB" w:rsidP="136F3BEB">
      <w:pPr>
        <w:pStyle w:val="TOC2"/>
        <w:tabs>
          <w:tab w:val="right" w:leader="dot" w:pos="9015"/>
        </w:tabs>
        <w:rPr>
          <w:rFonts w:ascii="Verdana" w:hAnsi="Verdana" w:cstheme="minorBidi"/>
          <w:noProof/>
          <w:kern w:val="2"/>
          <w14:ligatures w14:val="standardContextual"/>
        </w:rPr>
      </w:pPr>
      <w:hyperlink w:anchor="_Toc2135998946">
        <w:r w:rsidRPr="136F3BEB">
          <w:rPr>
            <w:rStyle w:val="Hyperlink"/>
          </w:rPr>
          <w:t>10.2 Postnatal Contraception in North-West London</w:t>
        </w:r>
        <w:r w:rsidR="00FB0E15">
          <w:tab/>
        </w:r>
        <w:r w:rsidR="00FB0E15">
          <w:fldChar w:fldCharType="begin"/>
        </w:r>
        <w:r w:rsidR="00FB0E15">
          <w:instrText>PAGEREF _Toc2135998946 \h</w:instrText>
        </w:r>
        <w:r w:rsidR="00FB0E15">
          <w:fldChar w:fldCharType="separate"/>
        </w:r>
        <w:r w:rsidRPr="136F3BEB">
          <w:rPr>
            <w:rStyle w:val="Hyperlink"/>
          </w:rPr>
          <w:t>16</w:t>
        </w:r>
        <w:r w:rsidR="00FB0E15">
          <w:fldChar w:fldCharType="end"/>
        </w:r>
      </w:hyperlink>
    </w:p>
    <w:p w14:paraId="36D87F27" w14:textId="77777777" w:rsidR="00356008" w:rsidRPr="006370CB" w:rsidRDefault="136F3BEB" w:rsidP="136F3BEB">
      <w:pPr>
        <w:pStyle w:val="TOC2"/>
        <w:tabs>
          <w:tab w:val="right" w:leader="dot" w:pos="9015"/>
        </w:tabs>
        <w:rPr>
          <w:rFonts w:ascii="Verdana" w:hAnsi="Verdana" w:cstheme="minorBidi"/>
          <w:noProof/>
          <w:kern w:val="2"/>
          <w:sz w:val="28"/>
          <w:szCs w:val="28"/>
          <w14:ligatures w14:val="standardContextual"/>
        </w:rPr>
      </w:pPr>
      <w:hyperlink w:anchor="_Toc493071168">
        <w:r w:rsidRPr="136F3BEB">
          <w:rPr>
            <w:rStyle w:val="Hyperlink"/>
          </w:rPr>
          <w:t>10.3 Integrated approach to commissioning in Sussex</w:t>
        </w:r>
        <w:r w:rsidR="00FB0E15">
          <w:tab/>
        </w:r>
        <w:r w:rsidR="00FB0E15">
          <w:fldChar w:fldCharType="begin"/>
        </w:r>
        <w:r w:rsidR="00FB0E15">
          <w:instrText>PAGEREF _Toc493071168 \h</w:instrText>
        </w:r>
        <w:r w:rsidR="00FB0E15">
          <w:fldChar w:fldCharType="separate"/>
        </w:r>
        <w:r w:rsidRPr="136F3BEB">
          <w:rPr>
            <w:rStyle w:val="Hyperlink"/>
          </w:rPr>
          <w:t>16</w:t>
        </w:r>
        <w:r w:rsidR="00FB0E15">
          <w:fldChar w:fldCharType="end"/>
        </w:r>
      </w:hyperlink>
    </w:p>
    <w:p w14:paraId="2A92D1DD" w14:textId="77777777" w:rsidR="00356008" w:rsidRPr="006370CB" w:rsidRDefault="136F3BEB" w:rsidP="136F3BEB">
      <w:pPr>
        <w:pStyle w:val="TOC2"/>
        <w:tabs>
          <w:tab w:val="right" w:leader="dot" w:pos="9015"/>
        </w:tabs>
        <w:rPr>
          <w:rFonts w:ascii="Verdana" w:hAnsi="Verdana" w:cstheme="minorBidi"/>
          <w:noProof/>
          <w:kern w:val="2"/>
          <w:sz w:val="28"/>
          <w:szCs w:val="28"/>
          <w14:ligatures w14:val="standardContextual"/>
        </w:rPr>
      </w:pPr>
      <w:hyperlink w:anchor="_Toc750785716">
        <w:r w:rsidRPr="136F3BEB">
          <w:rPr>
            <w:rStyle w:val="Hyperlink"/>
          </w:rPr>
          <w:t>10.4 Psychosexual models</w:t>
        </w:r>
        <w:r w:rsidR="00FB0E15">
          <w:tab/>
        </w:r>
        <w:r w:rsidR="00FB0E15">
          <w:fldChar w:fldCharType="begin"/>
        </w:r>
        <w:r w:rsidR="00FB0E15">
          <w:instrText>PAGEREF _Toc750785716 \h</w:instrText>
        </w:r>
        <w:r w:rsidR="00FB0E15">
          <w:fldChar w:fldCharType="separate"/>
        </w:r>
        <w:r w:rsidRPr="136F3BEB">
          <w:rPr>
            <w:rStyle w:val="Hyperlink"/>
          </w:rPr>
          <w:t>16</w:t>
        </w:r>
        <w:r w:rsidR="00FB0E15">
          <w:fldChar w:fldCharType="end"/>
        </w:r>
      </w:hyperlink>
    </w:p>
    <w:p w14:paraId="5D89C4D4" w14:textId="77777777" w:rsidR="00356008" w:rsidRPr="006370CB" w:rsidRDefault="136F3BEB" w:rsidP="136F3BEB">
      <w:pPr>
        <w:pStyle w:val="TOC1"/>
        <w:tabs>
          <w:tab w:val="right" w:leader="dot" w:pos="9015"/>
        </w:tabs>
        <w:rPr>
          <w:rFonts w:ascii="Verdana" w:hAnsi="Verdana" w:cstheme="minorBidi"/>
          <w:noProof/>
          <w:kern w:val="2"/>
          <w14:ligatures w14:val="standardContextual"/>
        </w:rPr>
      </w:pPr>
      <w:hyperlink w:anchor="_Toc493919261">
        <w:r w:rsidRPr="136F3BEB">
          <w:rPr>
            <w:rStyle w:val="Hyperlink"/>
          </w:rPr>
          <w:t>11. Recommendations</w:t>
        </w:r>
        <w:r w:rsidR="00FB0E15">
          <w:tab/>
        </w:r>
        <w:r w:rsidR="00FB0E15">
          <w:fldChar w:fldCharType="begin"/>
        </w:r>
        <w:r w:rsidR="00FB0E15">
          <w:instrText>PAGEREF _Toc493919261 \h</w:instrText>
        </w:r>
        <w:r w:rsidR="00FB0E15">
          <w:fldChar w:fldCharType="separate"/>
        </w:r>
        <w:r w:rsidRPr="136F3BEB">
          <w:rPr>
            <w:rStyle w:val="Hyperlink"/>
          </w:rPr>
          <w:t>16</w:t>
        </w:r>
        <w:r w:rsidR="00FB0E15">
          <w:fldChar w:fldCharType="end"/>
        </w:r>
      </w:hyperlink>
    </w:p>
    <w:p w14:paraId="0950E60A" w14:textId="77777777" w:rsidR="00356008" w:rsidRPr="006370CB" w:rsidRDefault="136F3BEB" w:rsidP="136F3BEB">
      <w:pPr>
        <w:pStyle w:val="TOC2"/>
        <w:tabs>
          <w:tab w:val="right" w:leader="dot" w:pos="9015"/>
        </w:tabs>
        <w:rPr>
          <w:rFonts w:ascii="Verdana" w:hAnsi="Verdana" w:cstheme="minorBidi"/>
          <w:noProof/>
          <w:kern w:val="2"/>
          <w14:ligatures w14:val="standardContextual"/>
        </w:rPr>
      </w:pPr>
      <w:hyperlink w:anchor="_Toc2019610212">
        <w:r w:rsidRPr="136F3BEB">
          <w:rPr>
            <w:rStyle w:val="Hyperlink"/>
          </w:rPr>
          <w:t>11.1 Key overarching recommendations:</w:t>
        </w:r>
        <w:r w:rsidR="00FB0E15">
          <w:tab/>
        </w:r>
        <w:r w:rsidR="00FB0E15">
          <w:fldChar w:fldCharType="begin"/>
        </w:r>
        <w:r w:rsidR="00FB0E15">
          <w:instrText>PAGEREF _Toc2019610212 \h</w:instrText>
        </w:r>
        <w:r w:rsidR="00FB0E15">
          <w:fldChar w:fldCharType="separate"/>
        </w:r>
        <w:r w:rsidRPr="136F3BEB">
          <w:rPr>
            <w:rStyle w:val="Hyperlink"/>
          </w:rPr>
          <w:t>16</w:t>
        </w:r>
        <w:r w:rsidR="00FB0E15">
          <w:fldChar w:fldCharType="end"/>
        </w:r>
      </w:hyperlink>
    </w:p>
    <w:p w14:paraId="7F95CC1F" w14:textId="77777777" w:rsidR="00356008" w:rsidRPr="006370CB" w:rsidRDefault="136F3BEB" w:rsidP="136F3BEB">
      <w:pPr>
        <w:pStyle w:val="TOC2"/>
        <w:tabs>
          <w:tab w:val="right" w:leader="dot" w:pos="9015"/>
        </w:tabs>
        <w:rPr>
          <w:rFonts w:ascii="Verdana" w:hAnsi="Verdana" w:cstheme="minorBidi"/>
          <w:noProof/>
          <w:kern w:val="2"/>
          <w:sz w:val="28"/>
          <w:szCs w:val="28"/>
          <w14:ligatures w14:val="standardContextual"/>
        </w:rPr>
      </w:pPr>
      <w:hyperlink w:anchor="_Toc1299748856">
        <w:r w:rsidRPr="136F3BEB">
          <w:rPr>
            <w:rStyle w:val="Hyperlink"/>
          </w:rPr>
          <w:t>11.2 Key recommendations for the sexual health commissioning</w:t>
        </w:r>
        <w:r w:rsidR="00FB0E15">
          <w:tab/>
        </w:r>
        <w:r w:rsidR="00FB0E15">
          <w:fldChar w:fldCharType="begin"/>
        </w:r>
        <w:r w:rsidR="00FB0E15">
          <w:instrText>PAGEREF _Toc1299748856 \h</w:instrText>
        </w:r>
        <w:r w:rsidR="00FB0E15">
          <w:fldChar w:fldCharType="separate"/>
        </w:r>
        <w:r w:rsidRPr="136F3BEB">
          <w:rPr>
            <w:rStyle w:val="Hyperlink"/>
          </w:rPr>
          <w:t>16</w:t>
        </w:r>
        <w:r w:rsidR="00FB0E15">
          <w:fldChar w:fldCharType="end"/>
        </w:r>
      </w:hyperlink>
    </w:p>
    <w:p w14:paraId="30C4ADD6" w14:textId="77777777" w:rsidR="00356008" w:rsidRPr="006370CB" w:rsidRDefault="136F3BEB" w:rsidP="136F3BEB">
      <w:pPr>
        <w:pStyle w:val="TOC2"/>
        <w:tabs>
          <w:tab w:val="right" w:leader="dot" w:pos="9015"/>
        </w:tabs>
        <w:rPr>
          <w:rFonts w:ascii="Verdana" w:hAnsi="Verdana" w:cstheme="minorBidi"/>
          <w:noProof/>
          <w:kern w:val="2"/>
          <w:sz w:val="28"/>
          <w:szCs w:val="28"/>
          <w14:ligatures w14:val="standardContextual"/>
        </w:rPr>
      </w:pPr>
      <w:hyperlink w:anchor="_Toc931943831">
        <w:r w:rsidRPr="136F3BEB">
          <w:rPr>
            <w:rStyle w:val="Hyperlink"/>
          </w:rPr>
          <w:t>11.3 Table of recommendations for existing services</w:t>
        </w:r>
        <w:r w:rsidR="00FB0E15">
          <w:tab/>
        </w:r>
        <w:r w:rsidR="00FB0E15">
          <w:fldChar w:fldCharType="begin"/>
        </w:r>
        <w:r w:rsidR="00FB0E15">
          <w:instrText>PAGEREF _Toc931943831 \h</w:instrText>
        </w:r>
        <w:r w:rsidR="00FB0E15">
          <w:fldChar w:fldCharType="separate"/>
        </w:r>
        <w:r w:rsidRPr="136F3BEB">
          <w:rPr>
            <w:rStyle w:val="Hyperlink"/>
          </w:rPr>
          <w:t>16</w:t>
        </w:r>
        <w:r w:rsidR="00FB0E15">
          <w:fldChar w:fldCharType="end"/>
        </w:r>
      </w:hyperlink>
    </w:p>
    <w:p w14:paraId="044DA5DD" w14:textId="77777777" w:rsidR="49636075" w:rsidRPr="006370CB" w:rsidRDefault="136F3BEB" w:rsidP="136F3BEB">
      <w:pPr>
        <w:pStyle w:val="TOC1"/>
        <w:tabs>
          <w:tab w:val="right" w:leader="dot" w:pos="9015"/>
        </w:tabs>
        <w:rPr>
          <w:rFonts w:ascii="Verdana" w:hAnsi="Verdana"/>
          <w:noProof/>
        </w:rPr>
      </w:pPr>
      <w:hyperlink w:anchor="_Toc1311952321">
        <w:r w:rsidRPr="136F3BEB">
          <w:rPr>
            <w:rStyle w:val="Hyperlink"/>
          </w:rPr>
          <w:t>Appendix A</w:t>
        </w:r>
        <w:r w:rsidR="00FB0E15">
          <w:tab/>
        </w:r>
        <w:r w:rsidR="00FB0E15">
          <w:fldChar w:fldCharType="begin"/>
        </w:r>
        <w:r w:rsidR="00FB0E15">
          <w:instrText>PAGEREF _Toc1311952321 \h</w:instrText>
        </w:r>
        <w:r w:rsidR="00FB0E15">
          <w:fldChar w:fldCharType="separate"/>
        </w:r>
        <w:r w:rsidRPr="136F3BEB">
          <w:rPr>
            <w:rStyle w:val="Hyperlink"/>
          </w:rPr>
          <w:t>17</w:t>
        </w:r>
        <w:r w:rsidR="00FB0E15">
          <w:fldChar w:fldCharType="end"/>
        </w:r>
      </w:hyperlink>
      <w:r w:rsidR="00FB0E15">
        <w:fldChar w:fldCharType="end"/>
      </w:r>
    </w:p>
    <w:p w14:paraId="31E0CED3" w14:textId="77777777" w:rsidR="4A0F6D8A" w:rsidRPr="008D6AC4" w:rsidRDefault="4A0F6D8A" w:rsidP="4A0F6D8A">
      <w:pPr>
        <w:pStyle w:val="TOC1"/>
        <w:tabs>
          <w:tab w:val="left" w:pos="630"/>
          <w:tab w:val="right" w:leader="dot" w:pos="9015"/>
        </w:tabs>
        <w:rPr>
          <w:rFonts w:ascii="Verdana" w:hAnsi="Verdana"/>
        </w:rPr>
      </w:pPr>
    </w:p>
    <w:p w14:paraId="186B4FB1" w14:textId="77777777" w:rsidR="0D6E8E50" w:rsidRPr="008D6AC4" w:rsidRDefault="0D6E8E50" w:rsidP="49636075">
      <w:pPr>
        <w:tabs>
          <w:tab w:val="left" w:pos="630"/>
          <w:tab w:val="right" w:leader="dot" w:pos="9015"/>
        </w:tabs>
        <w:rPr>
          <w:rFonts w:ascii="Verdana" w:hAnsi="Verdana"/>
          <w:sz w:val="22"/>
          <w:szCs w:val="22"/>
        </w:rPr>
      </w:pPr>
      <w:r w:rsidRPr="008D6AC4">
        <w:rPr>
          <w:rFonts w:ascii="Verdana" w:hAnsi="Verdana"/>
          <w:color w:val="2D7C82"/>
          <w:sz w:val="44"/>
          <w:szCs w:val="44"/>
        </w:rPr>
        <w:br w:type="page"/>
      </w:r>
      <w:r w:rsidR="54C79F5E" w:rsidRPr="008D6AC4">
        <w:rPr>
          <w:rFonts w:ascii="Verdana" w:hAnsi="Verdana"/>
          <w:b/>
          <w:bCs/>
          <w:color w:val="2D7C82"/>
          <w:sz w:val="32"/>
          <w:szCs w:val="32"/>
        </w:rPr>
        <w:lastRenderedPageBreak/>
        <w:t>|</w:t>
      </w:r>
      <w:r w:rsidR="54C79F5E" w:rsidRPr="008D6AC4">
        <w:rPr>
          <w:rFonts w:ascii="Verdana" w:hAnsi="Verdana"/>
          <w:b/>
          <w:bCs/>
          <w:sz w:val="32"/>
          <w:szCs w:val="32"/>
        </w:rPr>
        <w:t xml:space="preserve"> </w:t>
      </w:r>
      <w:r w:rsidR="1ACF7EB7" w:rsidRPr="008D6AC4">
        <w:rPr>
          <w:rFonts w:ascii="Verdana" w:hAnsi="Verdana"/>
          <w:b/>
          <w:bCs/>
          <w:sz w:val="32"/>
          <w:szCs w:val="32"/>
        </w:rPr>
        <w:t>Glossary</w:t>
      </w:r>
    </w:p>
    <w:p w14:paraId="67DD0760" w14:textId="77777777" w:rsidR="668A7FB0" w:rsidRPr="008D6AC4" w:rsidRDefault="668A7FB0" w:rsidP="7FF55879">
      <w:pPr>
        <w:rPr>
          <w:rFonts w:ascii="Verdana" w:hAnsi="Verdana"/>
          <w:sz w:val="22"/>
          <w:szCs w:val="22"/>
        </w:rPr>
      </w:pPr>
      <w:r w:rsidRPr="008D6AC4">
        <w:rPr>
          <w:rFonts w:ascii="Verdana" w:hAnsi="Verdana"/>
          <w:sz w:val="22"/>
          <w:szCs w:val="22"/>
        </w:rPr>
        <w:t>DHSC</w:t>
      </w:r>
      <w:r w:rsidRPr="0089791B">
        <w:rPr>
          <w:rFonts w:ascii="Verdana" w:hAnsi="Verdana"/>
        </w:rPr>
        <w:tab/>
      </w:r>
      <w:r w:rsidRPr="0089791B">
        <w:rPr>
          <w:rFonts w:ascii="Verdana" w:hAnsi="Verdana"/>
        </w:rPr>
        <w:tab/>
      </w:r>
      <w:r w:rsidRPr="008D6AC4">
        <w:rPr>
          <w:rFonts w:ascii="Verdana" w:hAnsi="Verdana"/>
          <w:sz w:val="22"/>
          <w:szCs w:val="22"/>
        </w:rPr>
        <w:t>Department of Health and Social Care</w:t>
      </w:r>
    </w:p>
    <w:p w14:paraId="2570D20E" w14:textId="77777777" w:rsidR="28332A24" w:rsidRPr="008D6AC4" w:rsidRDefault="28332A24" w:rsidP="7FF55879">
      <w:pPr>
        <w:rPr>
          <w:rFonts w:ascii="Verdana" w:hAnsi="Verdana"/>
          <w:sz w:val="22"/>
          <w:szCs w:val="22"/>
        </w:rPr>
      </w:pPr>
      <w:r w:rsidRPr="008D6AC4">
        <w:rPr>
          <w:rFonts w:ascii="Verdana" w:hAnsi="Verdana"/>
          <w:sz w:val="22"/>
          <w:szCs w:val="22"/>
        </w:rPr>
        <w:t>DNA</w:t>
      </w:r>
      <w:r w:rsidRPr="0089791B">
        <w:rPr>
          <w:rFonts w:ascii="Verdana" w:hAnsi="Verdana"/>
        </w:rPr>
        <w:tab/>
      </w:r>
      <w:r w:rsidRPr="0089791B">
        <w:rPr>
          <w:rFonts w:ascii="Verdana" w:hAnsi="Verdana"/>
        </w:rPr>
        <w:tab/>
      </w:r>
      <w:r w:rsidRPr="008D6AC4">
        <w:rPr>
          <w:rFonts w:ascii="Verdana" w:hAnsi="Verdana"/>
          <w:sz w:val="22"/>
          <w:szCs w:val="22"/>
        </w:rPr>
        <w:t>Did Not Attend</w:t>
      </w:r>
    </w:p>
    <w:p w14:paraId="7437374D" w14:textId="77777777" w:rsidR="6A3F60AF" w:rsidRPr="008D6AC4" w:rsidRDefault="6A3F60AF" w:rsidP="7FF55879">
      <w:pPr>
        <w:rPr>
          <w:rFonts w:ascii="Verdana" w:hAnsi="Verdana"/>
          <w:sz w:val="22"/>
          <w:szCs w:val="22"/>
        </w:rPr>
      </w:pPr>
      <w:r w:rsidRPr="008D6AC4">
        <w:rPr>
          <w:rFonts w:ascii="Verdana" w:hAnsi="Verdana"/>
          <w:sz w:val="22"/>
          <w:szCs w:val="22"/>
        </w:rPr>
        <w:t xml:space="preserve">EoC </w:t>
      </w:r>
      <w:r w:rsidRPr="0089791B">
        <w:rPr>
          <w:rFonts w:ascii="Verdana" w:hAnsi="Verdana"/>
        </w:rPr>
        <w:tab/>
      </w:r>
      <w:r w:rsidRPr="0089791B">
        <w:rPr>
          <w:rFonts w:ascii="Verdana" w:hAnsi="Verdana"/>
        </w:rPr>
        <w:tab/>
      </w:r>
      <w:r w:rsidRPr="008D6AC4">
        <w:rPr>
          <w:rFonts w:ascii="Verdana" w:hAnsi="Verdana"/>
          <w:sz w:val="22"/>
          <w:szCs w:val="22"/>
        </w:rPr>
        <w:t>Emergency Oral Contraception</w:t>
      </w:r>
    </w:p>
    <w:p w14:paraId="05518B79" w14:textId="77777777" w:rsidR="3847A7E1" w:rsidRPr="008D6AC4" w:rsidRDefault="3847A7E1" w:rsidP="7FF55879">
      <w:pPr>
        <w:rPr>
          <w:rFonts w:ascii="Verdana" w:hAnsi="Verdana"/>
          <w:sz w:val="22"/>
          <w:szCs w:val="22"/>
        </w:rPr>
      </w:pPr>
      <w:r w:rsidRPr="008D6AC4">
        <w:rPr>
          <w:rFonts w:ascii="Verdana" w:hAnsi="Verdana"/>
          <w:sz w:val="22"/>
          <w:szCs w:val="22"/>
        </w:rPr>
        <w:t>FRSH</w:t>
      </w:r>
      <w:r w:rsidRPr="0089791B">
        <w:rPr>
          <w:rFonts w:ascii="Verdana" w:hAnsi="Verdana"/>
        </w:rPr>
        <w:tab/>
      </w:r>
      <w:r w:rsidRPr="0089791B">
        <w:rPr>
          <w:rFonts w:ascii="Verdana" w:hAnsi="Verdana"/>
        </w:rPr>
        <w:tab/>
      </w:r>
      <w:r w:rsidRPr="008D6AC4">
        <w:rPr>
          <w:rFonts w:ascii="Verdana" w:hAnsi="Verdana"/>
          <w:sz w:val="22"/>
          <w:szCs w:val="22"/>
        </w:rPr>
        <w:t>Faculty of Sexual &amp; Reproductive Health</w:t>
      </w:r>
    </w:p>
    <w:p w14:paraId="2460563C" w14:textId="77777777" w:rsidR="2D06092C" w:rsidRPr="008D6AC4" w:rsidRDefault="4FA6740E" w:rsidP="7FF55879">
      <w:pPr>
        <w:rPr>
          <w:rFonts w:ascii="Verdana" w:hAnsi="Verdana"/>
          <w:sz w:val="22"/>
          <w:szCs w:val="22"/>
        </w:rPr>
      </w:pPr>
      <w:r w:rsidRPr="136F3BEB">
        <w:rPr>
          <w:rFonts w:ascii="Verdana" w:hAnsi="Verdana"/>
          <w:sz w:val="22"/>
          <w:szCs w:val="22"/>
        </w:rPr>
        <w:t>GBMSM</w:t>
      </w:r>
      <w:r w:rsidR="2D06092C">
        <w:tab/>
      </w:r>
      <w:r w:rsidRPr="136F3BEB">
        <w:rPr>
          <w:rFonts w:ascii="Verdana" w:hAnsi="Verdana"/>
          <w:sz w:val="22"/>
          <w:szCs w:val="22"/>
        </w:rPr>
        <w:t>Gay and Bisexual men who have sex with men</w:t>
      </w:r>
    </w:p>
    <w:p w14:paraId="1ED8F4E5" w14:textId="77777777" w:rsidR="1ACF7EB7" w:rsidRPr="008D6AC4" w:rsidRDefault="1ACF7EB7" w:rsidP="7FF55879">
      <w:pPr>
        <w:rPr>
          <w:rFonts w:ascii="Verdana" w:hAnsi="Verdana"/>
          <w:sz w:val="22"/>
          <w:szCs w:val="22"/>
        </w:rPr>
      </w:pPr>
      <w:r w:rsidRPr="008D6AC4">
        <w:rPr>
          <w:rFonts w:ascii="Verdana" w:hAnsi="Verdana"/>
          <w:sz w:val="22"/>
          <w:szCs w:val="22"/>
        </w:rPr>
        <w:t>GRT</w:t>
      </w:r>
      <w:r w:rsidRPr="0089791B">
        <w:rPr>
          <w:rFonts w:ascii="Verdana" w:hAnsi="Verdana"/>
        </w:rPr>
        <w:tab/>
      </w:r>
      <w:r w:rsidRPr="0089791B">
        <w:rPr>
          <w:rFonts w:ascii="Verdana" w:hAnsi="Verdana"/>
        </w:rPr>
        <w:tab/>
      </w:r>
      <w:r w:rsidRPr="008D6AC4">
        <w:rPr>
          <w:rFonts w:ascii="Verdana" w:hAnsi="Verdana"/>
          <w:sz w:val="22"/>
          <w:szCs w:val="22"/>
        </w:rPr>
        <w:t>Gypsy Roma and Traveller Communities</w:t>
      </w:r>
    </w:p>
    <w:p w14:paraId="0437B868" w14:textId="77777777" w:rsidR="52D1C5D2" w:rsidRPr="008D6AC4" w:rsidRDefault="52D1C5D2" w:rsidP="7FF55879">
      <w:pPr>
        <w:rPr>
          <w:rFonts w:ascii="Verdana" w:hAnsi="Verdana"/>
          <w:sz w:val="22"/>
          <w:szCs w:val="22"/>
        </w:rPr>
      </w:pPr>
      <w:r w:rsidRPr="008D6AC4">
        <w:rPr>
          <w:rFonts w:ascii="Verdana" w:hAnsi="Verdana"/>
          <w:sz w:val="22"/>
          <w:szCs w:val="22"/>
        </w:rPr>
        <w:t>GUM</w:t>
      </w:r>
      <w:r w:rsidRPr="0089791B">
        <w:rPr>
          <w:rFonts w:ascii="Verdana" w:hAnsi="Verdana"/>
        </w:rPr>
        <w:tab/>
      </w:r>
      <w:r w:rsidRPr="0089791B">
        <w:rPr>
          <w:rFonts w:ascii="Verdana" w:hAnsi="Verdana"/>
        </w:rPr>
        <w:tab/>
      </w:r>
      <w:r w:rsidR="6FED8412" w:rsidRPr="008D6AC4">
        <w:rPr>
          <w:rFonts w:ascii="Verdana" w:hAnsi="Verdana"/>
          <w:sz w:val="22"/>
          <w:szCs w:val="22"/>
        </w:rPr>
        <w:t>G</w:t>
      </w:r>
      <w:r w:rsidRPr="008D6AC4">
        <w:rPr>
          <w:rFonts w:ascii="Verdana" w:hAnsi="Verdana"/>
          <w:sz w:val="22"/>
          <w:szCs w:val="22"/>
        </w:rPr>
        <w:t>enito-urinary medicine</w:t>
      </w:r>
    </w:p>
    <w:p w14:paraId="68AA1EA2" w14:textId="77777777" w:rsidR="1ACF7EB7" w:rsidRPr="008D6AC4" w:rsidRDefault="1ACF7EB7" w:rsidP="7FF55879">
      <w:pPr>
        <w:rPr>
          <w:rFonts w:ascii="Verdana" w:hAnsi="Verdana"/>
          <w:sz w:val="22"/>
          <w:szCs w:val="22"/>
        </w:rPr>
      </w:pPr>
      <w:r w:rsidRPr="008D6AC4">
        <w:rPr>
          <w:rFonts w:ascii="Verdana" w:hAnsi="Verdana"/>
          <w:sz w:val="22"/>
          <w:szCs w:val="22"/>
        </w:rPr>
        <w:t>HIV</w:t>
      </w:r>
      <w:r w:rsidRPr="0089791B">
        <w:rPr>
          <w:rFonts w:ascii="Verdana" w:hAnsi="Verdana"/>
        </w:rPr>
        <w:tab/>
      </w:r>
      <w:r w:rsidRPr="0089791B">
        <w:rPr>
          <w:rFonts w:ascii="Verdana" w:hAnsi="Verdana"/>
        </w:rPr>
        <w:tab/>
      </w:r>
      <w:r w:rsidRPr="008D6AC4">
        <w:rPr>
          <w:rFonts w:ascii="Verdana" w:hAnsi="Verdana"/>
          <w:sz w:val="22"/>
          <w:szCs w:val="22"/>
        </w:rPr>
        <w:t>Human Immunodeficiency Virus</w:t>
      </w:r>
    </w:p>
    <w:p w14:paraId="6166172C" w14:textId="77777777" w:rsidR="7AB93BB1" w:rsidRPr="008D6AC4" w:rsidRDefault="7AB93BB1" w:rsidP="7FF55879">
      <w:pPr>
        <w:rPr>
          <w:rFonts w:ascii="Verdana" w:hAnsi="Verdana"/>
          <w:sz w:val="22"/>
          <w:szCs w:val="22"/>
        </w:rPr>
      </w:pPr>
      <w:r w:rsidRPr="008D6AC4">
        <w:rPr>
          <w:rFonts w:ascii="Verdana" w:hAnsi="Verdana"/>
          <w:sz w:val="22"/>
          <w:szCs w:val="22"/>
        </w:rPr>
        <w:t>ICB</w:t>
      </w:r>
      <w:r w:rsidRPr="0089791B">
        <w:rPr>
          <w:rFonts w:ascii="Verdana" w:hAnsi="Verdana"/>
        </w:rPr>
        <w:tab/>
      </w:r>
      <w:r w:rsidRPr="0089791B">
        <w:rPr>
          <w:rFonts w:ascii="Verdana" w:hAnsi="Verdana"/>
        </w:rPr>
        <w:tab/>
      </w:r>
      <w:r w:rsidR="0089791B" w:rsidRPr="008D6AC4">
        <w:rPr>
          <w:rFonts w:ascii="Verdana" w:hAnsi="Verdana"/>
          <w:sz w:val="22"/>
          <w:szCs w:val="22"/>
        </w:rPr>
        <w:t>Integrated</w:t>
      </w:r>
      <w:r w:rsidR="35FE3D6B" w:rsidRPr="008D6AC4">
        <w:rPr>
          <w:rFonts w:ascii="Verdana" w:hAnsi="Verdana"/>
          <w:sz w:val="22"/>
          <w:szCs w:val="22"/>
        </w:rPr>
        <w:t xml:space="preserve"> Care Board</w:t>
      </w:r>
    </w:p>
    <w:p w14:paraId="2493E986" w14:textId="77777777" w:rsidR="1ACF7EB7" w:rsidRPr="008D6AC4" w:rsidRDefault="1ACF7EB7" w:rsidP="7FF55879">
      <w:pPr>
        <w:rPr>
          <w:rFonts w:ascii="Verdana" w:hAnsi="Verdana"/>
          <w:sz w:val="22"/>
          <w:szCs w:val="22"/>
        </w:rPr>
      </w:pPr>
      <w:r w:rsidRPr="008D6AC4">
        <w:rPr>
          <w:rFonts w:ascii="Verdana" w:hAnsi="Verdana"/>
          <w:sz w:val="22"/>
          <w:szCs w:val="22"/>
        </w:rPr>
        <w:t>ISHS</w:t>
      </w:r>
      <w:r w:rsidRPr="0089791B">
        <w:rPr>
          <w:rFonts w:ascii="Verdana" w:hAnsi="Verdana"/>
        </w:rPr>
        <w:tab/>
      </w:r>
      <w:r w:rsidRPr="0089791B">
        <w:rPr>
          <w:rFonts w:ascii="Verdana" w:hAnsi="Verdana"/>
        </w:rPr>
        <w:tab/>
      </w:r>
      <w:r w:rsidRPr="008D6AC4">
        <w:rPr>
          <w:rFonts w:ascii="Verdana" w:hAnsi="Verdana"/>
          <w:sz w:val="22"/>
          <w:szCs w:val="22"/>
        </w:rPr>
        <w:t>Integrated Sexual Health Services</w:t>
      </w:r>
    </w:p>
    <w:p w14:paraId="59727ACB" w14:textId="77777777" w:rsidR="1ACF7EB7" w:rsidRPr="008D6AC4" w:rsidRDefault="1ACF7EB7" w:rsidP="7FF55879">
      <w:pPr>
        <w:rPr>
          <w:rFonts w:ascii="Verdana" w:hAnsi="Verdana"/>
          <w:sz w:val="22"/>
          <w:szCs w:val="22"/>
        </w:rPr>
      </w:pPr>
      <w:r w:rsidRPr="008D6AC4">
        <w:rPr>
          <w:rFonts w:ascii="Verdana" w:hAnsi="Verdana"/>
          <w:sz w:val="22"/>
          <w:szCs w:val="22"/>
        </w:rPr>
        <w:t>IUD</w:t>
      </w:r>
      <w:r w:rsidRPr="0089791B">
        <w:rPr>
          <w:rFonts w:ascii="Verdana" w:hAnsi="Verdana"/>
        </w:rPr>
        <w:tab/>
      </w:r>
      <w:r w:rsidRPr="0089791B">
        <w:rPr>
          <w:rFonts w:ascii="Verdana" w:hAnsi="Verdana"/>
        </w:rPr>
        <w:tab/>
      </w:r>
      <w:r w:rsidRPr="008D6AC4">
        <w:rPr>
          <w:rFonts w:ascii="Verdana" w:hAnsi="Verdana"/>
          <w:sz w:val="22"/>
          <w:szCs w:val="22"/>
        </w:rPr>
        <w:t>Intra Uterine Device</w:t>
      </w:r>
    </w:p>
    <w:p w14:paraId="17DD91AB" w14:textId="77777777" w:rsidR="1ACF7EB7" w:rsidRPr="008D6AC4" w:rsidRDefault="1ACF7EB7" w:rsidP="7FF55879">
      <w:pPr>
        <w:rPr>
          <w:rFonts w:ascii="Verdana" w:hAnsi="Verdana"/>
          <w:sz w:val="22"/>
          <w:szCs w:val="22"/>
        </w:rPr>
      </w:pPr>
      <w:r w:rsidRPr="008D6AC4">
        <w:rPr>
          <w:rFonts w:ascii="Verdana" w:hAnsi="Verdana"/>
          <w:sz w:val="22"/>
          <w:szCs w:val="22"/>
        </w:rPr>
        <w:t>IUS</w:t>
      </w:r>
      <w:r w:rsidRPr="0089791B">
        <w:rPr>
          <w:rFonts w:ascii="Verdana" w:hAnsi="Verdana"/>
        </w:rPr>
        <w:tab/>
      </w:r>
      <w:r w:rsidRPr="0089791B">
        <w:rPr>
          <w:rFonts w:ascii="Verdana" w:hAnsi="Verdana"/>
        </w:rPr>
        <w:tab/>
      </w:r>
      <w:r w:rsidRPr="008D6AC4">
        <w:rPr>
          <w:rFonts w:ascii="Verdana" w:hAnsi="Verdana"/>
          <w:sz w:val="22"/>
          <w:szCs w:val="22"/>
        </w:rPr>
        <w:t>Intra Uterine System</w:t>
      </w:r>
    </w:p>
    <w:p w14:paraId="2A2A1162" w14:textId="77777777" w:rsidR="1ACF7EB7" w:rsidRPr="008D6AC4" w:rsidRDefault="1ACF7EB7" w:rsidP="7FF55879">
      <w:pPr>
        <w:rPr>
          <w:rFonts w:ascii="Verdana" w:hAnsi="Verdana"/>
          <w:sz w:val="22"/>
          <w:szCs w:val="22"/>
        </w:rPr>
      </w:pPr>
      <w:r w:rsidRPr="008D6AC4">
        <w:rPr>
          <w:rFonts w:ascii="Verdana" w:hAnsi="Verdana"/>
          <w:sz w:val="22"/>
          <w:szCs w:val="22"/>
        </w:rPr>
        <w:t>KCC</w:t>
      </w:r>
      <w:r w:rsidRPr="0089791B">
        <w:rPr>
          <w:rFonts w:ascii="Verdana" w:hAnsi="Verdana"/>
        </w:rPr>
        <w:tab/>
      </w:r>
      <w:r w:rsidRPr="0089791B">
        <w:rPr>
          <w:rFonts w:ascii="Verdana" w:hAnsi="Verdana"/>
        </w:rPr>
        <w:tab/>
      </w:r>
      <w:r w:rsidRPr="008D6AC4">
        <w:rPr>
          <w:rFonts w:ascii="Verdana" w:hAnsi="Verdana"/>
          <w:sz w:val="22"/>
          <w:szCs w:val="22"/>
        </w:rPr>
        <w:t>Kent Co</w:t>
      </w:r>
      <w:r w:rsidR="215749CA" w:rsidRPr="008D6AC4">
        <w:rPr>
          <w:rFonts w:ascii="Verdana" w:hAnsi="Verdana"/>
          <w:sz w:val="22"/>
          <w:szCs w:val="22"/>
        </w:rPr>
        <w:t>unty Council</w:t>
      </w:r>
    </w:p>
    <w:p w14:paraId="2AE9A249" w14:textId="77777777" w:rsidR="2443FDE1" w:rsidRPr="008D6AC4" w:rsidRDefault="2443FDE1" w:rsidP="7FF55879">
      <w:pPr>
        <w:rPr>
          <w:rFonts w:ascii="Verdana" w:hAnsi="Verdana"/>
          <w:sz w:val="22"/>
          <w:szCs w:val="22"/>
        </w:rPr>
      </w:pPr>
      <w:r w:rsidRPr="008D6AC4">
        <w:rPr>
          <w:rFonts w:ascii="Verdana" w:hAnsi="Verdana"/>
          <w:sz w:val="22"/>
          <w:szCs w:val="22"/>
        </w:rPr>
        <w:t>LARC</w:t>
      </w:r>
      <w:r w:rsidRPr="0089791B">
        <w:rPr>
          <w:rFonts w:ascii="Verdana" w:hAnsi="Verdana"/>
        </w:rPr>
        <w:tab/>
      </w:r>
      <w:r w:rsidRPr="0089791B">
        <w:rPr>
          <w:rFonts w:ascii="Verdana" w:hAnsi="Verdana"/>
        </w:rPr>
        <w:tab/>
      </w:r>
      <w:r w:rsidRPr="008D6AC4">
        <w:rPr>
          <w:rFonts w:ascii="Verdana" w:hAnsi="Verdana"/>
          <w:sz w:val="22"/>
          <w:szCs w:val="22"/>
        </w:rPr>
        <w:t>Long</w:t>
      </w:r>
      <w:r w:rsidR="431956EF" w:rsidRPr="008D6AC4">
        <w:rPr>
          <w:rFonts w:ascii="Verdana" w:hAnsi="Verdana"/>
          <w:sz w:val="22"/>
          <w:szCs w:val="22"/>
        </w:rPr>
        <w:t>-</w:t>
      </w:r>
      <w:r w:rsidRPr="008D6AC4">
        <w:rPr>
          <w:rFonts w:ascii="Verdana" w:hAnsi="Verdana"/>
          <w:sz w:val="22"/>
          <w:szCs w:val="22"/>
        </w:rPr>
        <w:t>Acting Reversible Contraception</w:t>
      </w:r>
    </w:p>
    <w:p w14:paraId="6003A182" w14:textId="77777777" w:rsidR="17AEB391" w:rsidRPr="008D6AC4" w:rsidRDefault="17AEB391" w:rsidP="7FF55879">
      <w:pPr>
        <w:rPr>
          <w:rFonts w:ascii="Verdana" w:hAnsi="Verdana"/>
          <w:sz w:val="22"/>
          <w:szCs w:val="22"/>
        </w:rPr>
      </w:pPr>
      <w:r w:rsidRPr="008D6AC4">
        <w:rPr>
          <w:rFonts w:ascii="Verdana" w:hAnsi="Verdana"/>
          <w:sz w:val="22"/>
          <w:szCs w:val="22"/>
        </w:rPr>
        <w:t xml:space="preserve">LGBTQ+ </w:t>
      </w:r>
      <w:r w:rsidRPr="0089791B">
        <w:rPr>
          <w:rFonts w:ascii="Verdana" w:hAnsi="Verdana"/>
        </w:rPr>
        <w:tab/>
      </w:r>
      <w:r w:rsidRPr="008D6AC4">
        <w:rPr>
          <w:rFonts w:ascii="Verdana" w:hAnsi="Verdana"/>
          <w:sz w:val="22"/>
          <w:szCs w:val="22"/>
        </w:rPr>
        <w:t>Lesbian, Gay, Bisexual, Transexual, Queer +</w:t>
      </w:r>
    </w:p>
    <w:p w14:paraId="0657F403" w14:textId="77777777" w:rsidR="460A1BE8" w:rsidRPr="008D6AC4" w:rsidRDefault="460A1BE8" w:rsidP="7FF55879">
      <w:pPr>
        <w:rPr>
          <w:rFonts w:ascii="Verdana" w:hAnsi="Verdana"/>
          <w:sz w:val="22"/>
          <w:szCs w:val="22"/>
        </w:rPr>
      </w:pPr>
      <w:r w:rsidRPr="008D6AC4">
        <w:rPr>
          <w:rFonts w:ascii="Verdana" w:hAnsi="Verdana"/>
          <w:sz w:val="22"/>
          <w:szCs w:val="22"/>
        </w:rPr>
        <w:t>MSM</w:t>
      </w:r>
      <w:r>
        <w:tab/>
      </w:r>
      <w:r>
        <w:tab/>
      </w:r>
      <w:r w:rsidRPr="008D6AC4">
        <w:rPr>
          <w:rFonts w:ascii="Verdana" w:hAnsi="Verdana"/>
          <w:sz w:val="22"/>
          <w:szCs w:val="22"/>
        </w:rPr>
        <w:t>Men who have sex with men</w:t>
      </w:r>
    </w:p>
    <w:p w14:paraId="7738CD43" w14:textId="77777777" w:rsidR="00056CBD" w:rsidRPr="004627A9" w:rsidRDefault="67152DB9" w:rsidP="7FF55879">
      <w:pPr>
        <w:rPr>
          <w:rFonts w:ascii="Verdana" w:hAnsi="Verdana"/>
          <w:sz w:val="22"/>
          <w:szCs w:val="22"/>
        </w:rPr>
      </w:pPr>
      <w:r w:rsidRPr="136F3BEB">
        <w:rPr>
          <w:rFonts w:ascii="Verdana" w:hAnsi="Verdana"/>
          <w:sz w:val="22"/>
          <w:szCs w:val="22"/>
        </w:rPr>
        <w:t>NATSAL</w:t>
      </w:r>
      <w:r w:rsidR="703C9A3E">
        <w:tab/>
      </w:r>
      <w:r w:rsidRPr="136F3BEB">
        <w:rPr>
          <w:rFonts w:ascii="Verdana" w:hAnsi="Verdana"/>
          <w:sz w:val="22"/>
          <w:szCs w:val="22"/>
        </w:rPr>
        <w:t>National Survey of Sexual Attitudes and Lifestyle</w:t>
      </w:r>
    </w:p>
    <w:p w14:paraId="592769B1" w14:textId="77777777" w:rsidR="703C9A3E" w:rsidRPr="008D6AC4" w:rsidRDefault="00056CBD" w:rsidP="7FF55879">
      <w:pPr>
        <w:rPr>
          <w:rFonts w:ascii="Verdana" w:hAnsi="Verdana"/>
          <w:sz w:val="22"/>
          <w:szCs w:val="22"/>
        </w:rPr>
      </w:pPr>
      <w:r w:rsidRPr="008D6AC4">
        <w:rPr>
          <w:rFonts w:ascii="Verdana" w:hAnsi="Verdana"/>
          <w:sz w:val="22"/>
          <w:szCs w:val="22"/>
        </w:rPr>
        <w:t xml:space="preserve">PID </w:t>
      </w:r>
      <w:r w:rsidRPr="008D6AC4">
        <w:rPr>
          <w:rFonts w:ascii="Verdana" w:hAnsi="Verdana"/>
          <w:sz w:val="22"/>
          <w:szCs w:val="22"/>
        </w:rPr>
        <w:tab/>
      </w:r>
      <w:r w:rsidRPr="008D6AC4">
        <w:rPr>
          <w:rFonts w:ascii="Verdana" w:hAnsi="Verdana"/>
          <w:sz w:val="22"/>
          <w:szCs w:val="22"/>
        </w:rPr>
        <w:tab/>
        <w:t>Pelvic Inflammatory Disease</w:t>
      </w:r>
      <w:r w:rsidR="703C9A3E" w:rsidRPr="008D6AC4">
        <w:rPr>
          <w:rFonts w:ascii="Verdana" w:hAnsi="Verdana"/>
          <w:sz w:val="22"/>
          <w:szCs w:val="22"/>
        </w:rPr>
        <w:t xml:space="preserve"> </w:t>
      </w:r>
    </w:p>
    <w:p w14:paraId="580E89EF" w14:textId="77777777" w:rsidR="1ACF7EB7" w:rsidRPr="008D6AC4" w:rsidRDefault="1ACF7EB7" w:rsidP="7FF55879">
      <w:pPr>
        <w:rPr>
          <w:rFonts w:ascii="Verdana" w:hAnsi="Verdana"/>
          <w:sz w:val="22"/>
          <w:szCs w:val="22"/>
        </w:rPr>
      </w:pPr>
      <w:proofErr w:type="spellStart"/>
      <w:r w:rsidRPr="008D6AC4">
        <w:rPr>
          <w:rFonts w:ascii="Verdana" w:hAnsi="Verdana"/>
          <w:sz w:val="22"/>
          <w:szCs w:val="22"/>
        </w:rPr>
        <w:t>PreP</w:t>
      </w:r>
      <w:proofErr w:type="spellEnd"/>
      <w:r w:rsidRPr="0089791B">
        <w:rPr>
          <w:rFonts w:ascii="Verdana" w:hAnsi="Verdana"/>
        </w:rPr>
        <w:tab/>
      </w:r>
      <w:r w:rsidRPr="0089791B">
        <w:rPr>
          <w:rFonts w:ascii="Verdana" w:hAnsi="Verdana"/>
        </w:rPr>
        <w:tab/>
      </w:r>
      <w:r w:rsidR="430E0C03" w:rsidRPr="008D6AC4">
        <w:rPr>
          <w:rFonts w:ascii="Verdana" w:hAnsi="Verdana"/>
          <w:sz w:val="22"/>
          <w:szCs w:val="22"/>
        </w:rPr>
        <w:t>Pre</w:t>
      </w:r>
      <w:r w:rsidR="06E6D5A6" w:rsidRPr="008D6AC4">
        <w:rPr>
          <w:rFonts w:ascii="Verdana" w:hAnsi="Verdana"/>
          <w:sz w:val="22"/>
          <w:szCs w:val="22"/>
        </w:rPr>
        <w:t>-</w:t>
      </w:r>
      <w:r w:rsidR="430E0C03" w:rsidRPr="008D6AC4">
        <w:rPr>
          <w:rFonts w:ascii="Verdana" w:hAnsi="Verdana"/>
          <w:sz w:val="22"/>
          <w:szCs w:val="22"/>
        </w:rPr>
        <w:t xml:space="preserve">Exposure </w:t>
      </w:r>
      <w:r w:rsidR="0117C6E3" w:rsidRPr="008D6AC4">
        <w:rPr>
          <w:rFonts w:ascii="Verdana" w:hAnsi="Verdana"/>
          <w:sz w:val="22"/>
          <w:szCs w:val="22"/>
        </w:rPr>
        <w:t>Prophylaxis</w:t>
      </w:r>
    </w:p>
    <w:p w14:paraId="40CE7F79" w14:textId="77777777" w:rsidR="16C5542D" w:rsidRPr="008D6AC4" w:rsidRDefault="16C5542D" w:rsidP="7FF55879">
      <w:pPr>
        <w:rPr>
          <w:rFonts w:ascii="Verdana" w:hAnsi="Verdana"/>
          <w:sz w:val="22"/>
          <w:szCs w:val="22"/>
        </w:rPr>
      </w:pPr>
      <w:r w:rsidRPr="008D6AC4">
        <w:rPr>
          <w:rFonts w:ascii="Verdana" w:hAnsi="Verdana"/>
          <w:sz w:val="22"/>
          <w:szCs w:val="22"/>
        </w:rPr>
        <w:t xml:space="preserve">RSE </w:t>
      </w:r>
      <w:r w:rsidRPr="0089791B">
        <w:rPr>
          <w:rFonts w:ascii="Verdana" w:hAnsi="Verdana"/>
        </w:rPr>
        <w:tab/>
      </w:r>
      <w:r w:rsidRPr="0089791B">
        <w:rPr>
          <w:rFonts w:ascii="Verdana" w:hAnsi="Verdana"/>
        </w:rPr>
        <w:tab/>
      </w:r>
      <w:r w:rsidRPr="008D6AC4">
        <w:rPr>
          <w:rFonts w:ascii="Verdana" w:hAnsi="Verdana"/>
          <w:sz w:val="22"/>
          <w:szCs w:val="22"/>
        </w:rPr>
        <w:t>Relationship and Sex Education</w:t>
      </w:r>
    </w:p>
    <w:p w14:paraId="4CFD2324" w14:textId="77777777" w:rsidR="35B8AC98" w:rsidRPr="008D6AC4" w:rsidRDefault="35B8AC98" w:rsidP="7FF55879">
      <w:pPr>
        <w:rPr>
          <w:rFonts w:ascii="Verdana" w:hAnsi="Verdana"/>
          <w:sz w:val="22"/>
          <w:szCs w:val="22"/>
        </w:rPr>
      </w:pPr>
      <w:r w:rsidRPr="008D6AC4">
        <w:rPr>
          <w:rFonts w:ascii="Verdana" w:hAnsi="Verdana"/>
          <w:sz w:val="22"/>
          <w:szCs w:val="22"/>
        </w:rPr>
        <w:t>SARC</w:t>
      </w:r>
      <w:r w:rsidRPr="0089791B">
        <w:rPr>
          <w:rFonts w:ascii="Verdana" w:hAnsi="Verdana"/>
        </w:rPr>
        <w:tab/>
      </w:r>
      <w:r w:rsidRPr="0089791B">
        <w:rPr>
          <w:rFonts w:ascii="Verdana" w:hAnsi="Verdana"/>
        </w:rPr>
        <w:tab/>
      </w:r>
      <w:r w:rsidR="46DE46D6" w:rsidRPr="008D6AC4">
        <w:rPr>
          <w:rFonts w:ascii="Verdana" w:hAnsi="Verdana"/>
          <w:sz w:val="22"/>
          <w:szCs w:val="22"/>
        </w:rPr>
        <w:t>S</w:t>
      </w:r>
      <w:r w:rsidRPr="008D6AC4">
        <w:rPr>
          <w:rFonts w:ascii="Verdana" w:hAnsi="Verdana"/>
          <w:sz w:val="22"/>
          <w:szCs w:val="22"/>
        </w:rPr>
        <w:t>exual assault referral centres</w:t>
      </w:r>
    </w:p>
    <w:p w14:paraId="263A0248" w14:textId="77777777" w:rsidR="16C5542D" w:rsidRPr="008D6AC4" w:rsidRDefault="16C5542D" w:rsidP="7FF55879">
      <w:pPr>
        <w:rPr>
          <w:rFonts w:ascii="Verdana" w:hAnsi="Verdana"/>
          <w:sz w:val="22"/>
          <w:szCs w:val="22"/>
        </w:rPr>
      </w:pPr>
      <w:r w:rsidRPr="008D6AC4">
        <w:rPr>
          <w:rFonts w:ascii="Verdana" w:hAnsi="Verdana"/>
          <w:sz w:val="22"/>
          <w:szCs w:val="22"/>
        </w:rPr>
        <w:t>SDI</w:t>
      </w:r>
      <w:r w:rsidRPr="0089791B">
        <w:rPr>
          <w:rFonts w:ascii="Verdana" w:hAnsi="Verdana"/>
        </w:rPr>
        <w:tab/>
      </w:r>
      <w:r w:rsidRPr="0089791B">
        <w:rPr>
          <w:rFonts w:ascii="Verdana" w:hAnsi="Verdana"/>
        </w:rPr>
        <w:tab/>
      </w:r>
      <w:r w:rsidRPr="008D6AC4">
        <w:rPr>
          <w:rFonts w:ascii="Verdana" w:hAnsi="Verdana"/>
          <w:sz w:val="22"/>
          <w:szCs w:val="22"/>
        </w:rPr>
        <w:t>Subdermal Implant</w:t>
      </w:r>
    </w:p>
    <w:p w14:paraId="1A7654B5" w14:textId="77777777" w:rsidR="380FF394" w:rsidRPr="008D6AC4" w:rsidRDefault="380FF394" w:rsidP="7FF55879">
      <w:pPr>
        <w:rPr>
          <w:rFonts w:ascii="Verdana" w:hAnsi="Verdana"/>
          <w:sz w:val="22"/>
          <w:szCs w:val="22"/>
        </w:rPr>
      </w:pPr>
      <w:r w:rsidRPr="008D6AC4">
        <w:rPr>
          <w:rFonts w:ascii="Verdana" w:hAnsi="Verdana"/>
          <w:sz w:val="22"/>
          <w:szCs w:val="22"/>
        </w:rPr>
        <w:t>SRH</w:t>
      </w:r>
      <w:r w:rsidRPr="0089791B">
        <w:rPr>
          <w:rFonts w:ascii="Verdana" w:hAnsi="Verdana"/>
        </w:rPr>
        <w:tab/>
      </w:r>
      <w:r w:rsidRPr="0089791B">
        <w:rPr>
          <w:rFonts w:ascii="Verdana" w:hAnsi="Verdana"/>
        </w:rPr>
        <w:tab/>
      </w:r>
      <w:r w:rsidRPr="008D6AC4">
        <w:rPr>
          <w:rFonts w:ascii="Verdana" w:hAnsi="Verdana"/>
          <w:sz w:val="22"/>
          <w:szCs w:val="22"/>
        </w:rPr>
        <w:t>Sexual and Reproductive Health</w:t>
      </w:r>
    </w:p>
    <w:p w14:paraId="489C6158" w14:textId="77777777" w:rsidR="1ACF7EB7" w:rsidRPr="008D6AC4" w:rsidRDefault="1ACF7EB7" w:rsidP="7FF55879">
      <w:pPr>
        <w:rPr>
          <w:rFonts w:ascii="Verdana" w:hAnsi="Verdana"/>
          <w:sz w:val="22"/>
          <w:szCs w:val="22"/>
        </w:rPr>
      </w:pPr>
      <w:r w:rsidRPr="008D6AC4">
        <w:rPr>
          <w:rFonts w:ascii="Verdana" w:hAnsi="Verdana"/>
          <w:sz w:val="22"/>
          <w:szCs w:val="22"/>
        </w:rPr>
        <w:t>STI</w:t>
      </w:r>
      <w:r w:rsidRPr="0089791B">
        <w:rPr>
          <w:rFonts w:ascii="Verdana" w:hAnsi="Verdana"/>
        </w:rPr>
        <w:tab/>
      </w:r>
      <w:r w:rsidRPr="0089791B">
        <w:rPr>
          <w:rFonts w:ascii="Verdana" w:hAnsi="Verdana"/>
        </w:rPr>
        <w:tab/>
      </w:r>
      <w:r w:rsidR="33A7BC4D" w:rsidRPr="008D6AC4">
        <w:rPr>
          <w:rFonts w:ascii="Verdana" w:hAnsi="Verdana"/>
          <w:sz w:val="22"/>
          <w:szCs w:val="22"/>
        </w:rPr>
        <w:t>Sexually Transmitted Infection</w:t>
      </w:r>
    </w:p>
    <w:p w14:paraId="324F52A6" w14:textId="77777777" w:rsidR="1C4F76C0" w:rsidRPr="008D6AC4" w:rsidRDefault="1C4F76C0">
      <w:pPr>
        <w:rPr>
          <w:rFonts w:ascii="Verdana" w:hAnsi="Verdana"/>
        </w:rPr>
      </w:pPr>
      <w:r w:rsidRPr="008D6AC4">
        <w:rPr>
          <w:rFonts w:ascii="Verdana" w:hAnsi="Verdana"/>
          <w:sz w:val="22"/>
          <w:szCs w:val="22"/>
        </w:rPr>
        <w:t>TV</w:t>
      </w:r>
      <w:r w:rsidRPr="0089791B">
        <w:rPr>
          <w:rFonts w:ascii="Verdana" w:hAnsi="Verdana"/>
        </w:rPr>
        <w:tab/>
      </w:r>
      <w:r w:rsidRPr="0089791B">
        <w:rPr>
          <w:rFonts w:ascii="Verdana" w:hAnsi="Verdana"/>
        </w:rPr>
        <w:tab/>
      </w:r>
      <w:r w:rsidRPr="008D6AC4">
        <w:rPr>
          <w:rFonts w:ascii="Verdana" w:eastAsia="Verdana" w:hAnsi="Verdana" w:cs="Verdana"/>
          <w:color w:val="000000" w:themeColor="text1"/>
          <w:sz w:val="22"/>
          <w:szCs w:val="22"/>
        </w:rPr>
        <w:t>Trichomonas vaginalis</w:t>
      </w:r>
    </w:p>
    <w:p w14:paraId="28227070" w14:textId="77777777" w:rsidR="27A5DD5A" w:rsidRPr="008D6AC4" w:rsidRDefault="68A1BA36" w:rsidP="7FF55879">
      <w:pPr>
        <w:rPr>
          <w:rFonts w:ascii="Verdana" w:eastAsia="Verdana" w:hAnsi="Verdana" w:cs="Verdana"/>
          <w:color w:val="000000" w:themeColor="text1"/>
          <w:sz w:val="22"/>
          <w:szCs w:val="22"/>
        </w:rPr>
      </w:pPr>
      <w:r w:rsidRPr="136F3BEB">
        <w:rPr>
          <w:rFonts w:ascii="Verdana" w:eastAsia="Verdana" w:hAnsi="Verdana" w:cs="Verdana"/>
          <w:color w:val="000000" w:themeColor="text1"/>
          <w:sz w:val="22"/>
          <w:szCs w:val="22"/>
        </w:rPr>
        <w:t>UKHSA</w:t>
      </w:r>
      <w:r w:rsidR="27A5DD5A">
        <w:tab/>
      </w:r>
      <w:r w:rsidRPr="136F3BEB">
        <w:rPr>
          <w:rFonts w:ascii="Verdana" w:eastAsia="Verdana" w:hAnsi="Verdana" w:cs="Verdana"/>
          <w:color w:val="000000" w:themeColor="text1"/>
          <w:sz w:val="22"/>
          <w:szCs w:val="22"/>
        </w:rPr>
        <w:t>United Kingdom Health Security Agency</w:t>
      </w:r>
    </w:p>
    <w:p w14:paraId="4C405320" w14:textId="77777777" w:rsidR="725B6D25" w:rsidRPr="008D6AC4" w:rsidRDefault="725B6D25" w:rsidP="7FF55879">
      <w:pPr>
        <w:rPr>
          <w:rFonts w:ascii="Verdana" w:hAnsi="Verdana"/>
          <w:sz w:val="22"/>
          <w:szCs w:val="22"/>
        </w:rPr>
      </w:pPr>
      <w:r w:rsidRPr="008D6AC4">
        <w:rPr>
          <w:rFonts w:ascii="Verdana" w:hAnsi="Verdana"/>
          <w:sz w:val="22"/>
          <w:szCs w:val="22"/>
        </w:rPr>
        <w:t>VAWG</w:t>
      </w:r>
      <w:r w:rsidRPr="0089791B">
        <w:rPr>
          <w:rFonts w:ascii="Verdana" w:hAnsi="Verdana"/>
        </w:rPr>
        <w:tab/>
      </w:r>
      <w:r w:rsidRPr="0089791B">
        <w:rPr>
          <w:rFonts w:ascii="Verdana" w:hAnsi="Verdana"/>
        </w:rPr>
        <w:tab/>
      </w:r>
      <w:r w:rsidRPr="008D6AC4">
        <w:rPr>
          <w:rFonts w:ascii="Verdana" w:hAnsi="Verdana"/>
          <w:sz w:val="22"/>
          <w:szCs w:val="22"/>
        </w:rPr>
        <w:t>Violence Against Women and Girls</w:t>
      </w:r>
    </w:p>
    <w:p w14:paraId="5AC1D5AE" w14:textId="77777777" w:rsidR="00BC2390" w:rsidRPr="008D6AC4" w:rsidRDefault="7FA8C11C" w:rsidP="7FF55879">
      <w:pPr>
        <w:rPr>
          <w:rFonts w:ascii="Verdana" w:hAnsi="Verdana"/>
          <w:sz w:val="22"/>
          <w:szCs w:val="22"/>
        </w:rPr>
      </w:pPr>
      <w:r w:rsidRPr="008D6AC4">
        <w:rPr>
          <w:rFonts w:ascii="Verdana" w:hAnsi="Verdana"/>
          <w:sz w:val="22"/>
          <w:szCs w:val="22"/>
        </w:rPr>
        <w:t>WHO</w:t>
      </w:r>
      <w:r w:rsidRPr="0089791B">
        <w:rPr>
          <w:rFonts w:ascii="Verdana" w:hAnsi="Verdana"/>
        </w:rPr>
        <w:tab/>
      </w:r>
      <w:r w:rsidRPr="0089791B">
        <w:rPr>
          <w:rFonts w:ascii="Verdana" w:hAnsi="Verdana"/>
        </w:rPr>
        <w:tab/>
      </w:r>
      <w:r w:rsidRPr="008D6AC4">
        <w:rPr>
          <w:rFonts w:ascii="Verdana" w:hAnsi="Verdana"/>
          <w:sz w:val="22"/>
          <w:szCs w:val="22"/>
        </w:rPr>
        <w:t>World Health Organisation</w:t>
      </w:r>
    </w:p>
    <w:p w14:paraId="592F52FE" w14:textId="77777777" w:rsidR="49636075" w:rsidRPr="0089791B" w:rsidRDefault="49636075">
      <w:pPr>
        <w:rPr>
          <w:rFonts w:ascii="Verdana" w:hAnsi="Verdana"/>
        </w:rPr>
      </w:pPr>
      <w:r w:rsidRPr="0089791B">
        <w:rPr>
          <w:rFonts w:ascii="Verdana" w:hAnsi="Verdana"/>
        </w:rPr>
        <w:br w:type="page"/>
      </w:r>
    </w:p>
    <w:p w14:paraId="078FD1DD" w14:textId="77777777" w:rsidR="00AC195E" w:rsidRPr="0089791B" w:rsidRDefault="16846096" w:rsidP="49636075">
      <w:pPr>
        <w:pStyle w:val="Heading1"/>
        <w:numPr>
          <w:ilvl w:val="0"/>
          <w:numId w:val="0"/>
        </w:numPr>
        <w:spacing w:before="0" w:after="200"/>
        <w:rPr>
          <w:rFonts w:ascii="Verdana" w:hAnsi="Verdana"/>
          <w:color w:val="2D7C82"/>
          <w:sz w:val="28"/>
          <w:szCs w:val="28"/>
        </w:rPr>
      </w:pPr>
      <w:bookmarkStart w:id="0" w:name="_Toc1879378997"/>
      <w:r w:rsidRPr="136F3BEB">
        <w:rPr>
          <w:rFonts w:ascii="Verdana" w:hAnsi="Verdana"/>
          <w:color w:val="2D7C82"/>
          <w:sz w:val="28"/>
          <w:szCs w:val="28"/>
        </w:rPr>
        <w:lastRenderedPageBreak/>
        <w:t>1.</w:t>
      </w:r>
      <w:r w:rsidR="2B6A62E3">
        <w:tab/>
      </w:r>
      <w:r w:rsidR="4ACFC520" w:rsidRPr="136F3BEB">
        <w:rPr>
          <w:rFonts w:ascii="Verdana" w:hAnsi="Verdana"/>
          <w:color w:val="2D7C82"/>
          <w:sz w:val="28"/>
          <w:szCs w:val="28"/>
        </w:rPr>
        <w:t>Purpose of this Document</w:t>
      </w:r>
      <w:bookmarkEnd w:id="0"/>
      <w:r w:rsidR="29AA0FBD" w:rsidRPr="136F3BEB">
        <w:rPr>
          <w:rFonts w:ascii="Verdana" w:hAnsi="Verdana"/>
          <w:color w:val="2D7C82"/>
          <w:sz w:val="28"/>
          <w:szCs w:val="28"/>
        </w:rPr>
        <w:t xml:space="preserve"> </w:t>
      </w:r>
      <w:r w:rsidR="1C07E555" w:rsidRPr="136F3BEB">
        <w:rPr>
          <w:rFonts w:ascii="Verdana" w:hAnsi="Verdana"/>
          <w:color w:val="2D7C82"/>
          <w:sz w:val="28"/>
          <w:szCs w:val="28"/>
        </w:rPr>
        <w:t xml:space="preserve"> </w:t>
      </w:r>
    </w:p>
    <w:p w14:paraId="3372BADE" w14:textId="77777777" w:rsidR="655DDBBB" w:rsidRPr="008D6AC4" w:rsidRDefault="0D4DA0FF" w:rsidP="136F3BEB">
      <w:pPr>
        <w:jc w:val="both"/>
        <w:rPr>
          <w:rFonts w:ascii="Verdana" w:hAnsi="Verdana"/>
          <w:sz w:val="22"/>
          <w:szCs w:val="22"/>
        </w:rPr>
      </w:pPr>
      <w:r w:rsidRPr="136F3BEB">
        <w:rPr>
          <w:rFonts w:ascii="Verdana" w:hAnsi="Verdana"/>
          <w:sz w:val="22"/>
          <w:szCs w:val="22"/>
        </w:rPr>
        <w:t xml:space="preserve">This health needs assessment </w:t>
      </w:r>
      <w:r w:rsidR="33E366FF" w:rsidRPr="136F3BEB">
        <w:rPr>
          <w:rFonts w:ascii="Verdana" w:hAnsi="Verdana"/>
          <w:sz w:val="22"/>
          <w:szCs w:val="22"/>
        </w:rPr>
        <w:t xml:space="preserve">was undertaken in order </w:t>
      </w:r>
      <w:r w:rsidRPr="136F3BEB">
        <w:rPr>
          <w:rFonts w:ascii="Verdana" w:hAnsi="Verdana"/>
          <w:sz w:val="22"/>
          <w:szCs w:val="22"/>
        </w:rPr>
        <w:t>to understand the sexual health needs of the Kent population in 2024</w:t>
      </w:r>
      <w:r w:rsidR="708B65A5" w:rsidRPr="136F3BEB">
        <w:rPr>
          <w:rFonts w:ascii="Verdana" w:hAnsi="Verdana"/>
          <w:sz w:val="22"/>
          <w:szCs w:val="22"/>
        </w:rPr>
        <w:t>.</w:t>
      </w:r>
      <w:r w:rsidR="2D59B8F2" w:rsidRPr="136F3BEB">
        <w:rPr>
          <w:rFonts w:ascii="Verdana" w:hAnsi="Verdana"/>
          <w:sz w:val="22"/>
          <w:szCs w:val="22"/>
        </w:rPr>
        <w:t xml:space="preserve"> </w:t>
      </w:r>
      <w:r w:rsidR="4BE65FE8" w:rsidRPr="136F3BEB">
        <w:rPr>
          <w:rFonts w:ascii="Verdana" w:hAnsi="Verdana"/>
          <w:sz w:val="22"/>
          <w:szCs w:val="22"/>
        </w:rPr>
        <w:t xml:space="preserve">It was felt particularly important given that since the publication of the last Sexual Health Needs Assessment in 2019 there has been the COVID-19 </w:t>
      </w:r>
      <w:r w:rsidR="05EEE4DB" w:rsidRPr="136F3BEB">
        <w:rPr>
          <w:rFonts w:ascii="Verdana" w:hAnsi="Verdana"/>
          <w:sz w:val="22"/>
          <w:szCs w:val="22"/>
        </w:rPr>
        <w:t>pandemic, major policy changes, changes to our local population and their needs as well as a growing body of evidence about</w:t>
      </w:r>
      <w:r w:rsidR="2E4E4C23" w:rsidRPr="136F3BEB">
        <w:rPr>
          <w:rFonts w:ascii="Verdana" w:hAnsi="Verdana"/>
          <w:sz w:val="22"/>
          <w:szCs w:val="22"/>
        </w:rPr>
        <w:t xml:space="preserve"> how best to improve</w:t>
      </w:r>
      <w:r w:rsidR="05EEE4DB" w:rsidRPr="136F3BEB">
        <w:rPr>
          <w:rFonts w:ascii="Verdana" w:hAnsi="Verdana"/>
          <w:sz w:val="22"/>
          <w:szCs w:val="22"/>
        </w:rPr>
        <w:t xml:space="preserve"> sexual health outcomes</w:t>
      </w:r>
      <w:r w:rsidR="236877DD" w:rsidRPr="136F3BEB">
        <w:rPr>
          <w:rFonts w:ascii="Verdana" w:hAnsi="Verdana"/>
          <w:sz w:val="22"/>
          <w:szCs w:val="22"/>
        </w:rPr>
        <w:t xml:space="preserve"> despite the major pressures faced in the health and social care system at present</w:t>
      </w:r>
      <w:r w:rsidR="05EEE4DB" w:rsidRPr="136F3BEB">
        <w:rPr>
          <w:rFonts w:ascii="Verdana" w:hAnsi="Verdana"/>
          <w:sz w:val="22"/>
          <w:szCs w:val="22"/>
        </w:rPr>
        <w:t xml:space="preserve">. </w:t>
      </w:r>
      <w:r w:rsidR="33E366FF" w:rsidRPr="136F3BEB">
        <w:rPr>
          <w:rFonts w:ascii="Verdana" w:hAnsi="Verdana"/>
          <w:sz w:val="22"/>
          <w:szCs w:val="22"/>
        </w:rPr>
        <w:t>The</w:t>
      </w:r>
      <w:r w:rsidR="2D59B8F2" w:rsidRPr="136F3BEB">
        <w:rPr>
          <w:rFonts w:ascii="Verdana" w:hAnsi="Verdana"/>
          <w:sz w:val="22"/>
          <w:szCs w:val="22"/>
        </w:rPr>
        <w:t xml:space="preserve"> aim of this work was to </w:t>
      </w:r>
      <w:r w:rsidR="7C6A5B41" w:rsidRPr="136F3BEB">
        <w:rPr>
          <w:rFonts w:ascii="Verdana" w:hAnsi="Verdana"/>
          <w:sz w:val="22"/>
          <w:szCs w:val="22"/>
        </w:rPr>
        <w:t>ensure local sexual health services</w:t>
      </w:r>
      <w:r w:rsidR="03A87317" w:rsidRPr="136F3BEB">
        <w:rPr>
          <w:rFonts w:ascii="Verdana" w:hAnsi="Verdana"/>
          <w:sz w:val="22"/>
          <w:szCs w:val="22"/>
        </w:rPr>
        <w:t>, one focus of our transformation work underway, are optimally designed to meet the needs of local people</w:t>
      </w:r>
      <w:r w:rsidR="41BEBA7A" w:rsidRPr="136F3BEB">
        <w:rPr>
          <w:rFonts w:ascii="Verdana" w:hAnsi="Verdana"/>
          <w:sz w:val="22"/>
          <w:szCs w:val="22"/>
        </w:rPr>
        <w:t xml:space="preserve"> and fit not only for now but for the future also. This document outlines key areas studied through this needs assessment and includes recommendations for going further for improving sexual health outcomes acros</w:t>
      </w:r>
      <w:r w:rsidR="2DD45F05" w:rsidRPr="136F3BEB">
        <w:rPr>
          <w:rFonts w:ascii="Verdana" w:hAnsi="Verdana"/>
          <w:sz w:val="22"/>
          <w:szCs w:val="22"/>
        </w:rPr>
        <w:t xml:space="preserve">s Kent and sets out a call to action for everyone to be able to play their part in this. </w:t>
      </w:r>
      <w:r w:rsidR="179C4C17">
        <w:br/>
      </w:r>
    </w:p>
    <w:p w14:paraId="5377973C" w14:textId="77777777" w:rsidR="655DDBBB" w:rsidRPr="008D6AC4" w:rsidRDefault="78B8E0DA" w:rsidP="136F3BEB">
      <w:pPr>
        <w:pStyle w:val="Heading1"/>
        <w:numPr>
          <w:ilvl w:val="0"/>
          <w:numId w:val="0"/>
        </w:numPr>
        <w:spacing w:before="0" w:after="200"/>
        <w:rPr>
          <w:rFonts w:ascii="Verdana" w:hAnsi="Verdana"/>
          <w:color w:val="2D7C82"/>
          <w:sz w:val="28"/>
          <w:szCs w:val="28"/>
        </w:rPr>
      </w:pPr>
      <w:bookmarkStart w:id="1" w:name="_Toc1381486849"/>
      <w:r w:rsidRPr="136F3BEB">
        <w:rPr>
          <w:rFonts w:ascii="Verdana" w:hAnsi="Verdana"/>
          <w:color w:val="2D7C82"/>
          <w:sz w:val="28"/>
          <w:szCs w:val="28"/>
        </w:rPr>
        <w:t>2.</w:t>
      </w:r>
      <w:r w:rsidR="179C4C17">
        <w:tab/>
      </w:r>
      <w:r w:rsidRPr="136F3BEB">
        <w:rPr>
          <w:rFonts w:ascii="Verdana" w:hAnsi="Verdana"/>
          <w:color w:val="2D7C82"/>
          <w:sz w:val="28"/>
          <w:szCs w:val="28"/>
        </w:rPr>
        <w:t>Introduction</w:t>
      </w:r>
      <w:bookmarkEnd w:id="1"/>
      <w:r w:rsidRPr="136F3BEB">
        <w:rPr>
          <w:rFonts w:ascii="Verdana" w:hAnsi="Verdana"/>
          <w:color w:val="2D7C82"/>
          <w:sz w:val="28"/>
          <w:szCs w:val="28"/>
        </w:rPr>
        <w:t xml:space="preserve">  </w:t>
      </w:r>
    </w:p>
    <w:p w14:paraId="2DF1C8AB" w14:textId="77777777" w:rsidR="655DDBBB" w:rsidRPr="008D6AC4" w:rsidRDefault="179C4C17" w:rsidP="136F3BEB">
      <w:pPr>
        <w:jc w:val="both"/>
        <w:rPr>
          <w:rFonts w:ascii="Verdana" w:hAnsi="Verdana"/>
          <w:sz w:val="22"/>
          <w:szCs w:val="22"/>
        </w:rPr>
      </w:pPr>
      <w:r w:rsidRPr="008D6AC4">
        <w:rPr>
          <w:rFonts w:ascii="Verdana" w:hAnsi="Verdana"/>
          <w:noProof/>
        </w:rPr>
        <mc:AlternateContent>
          <mc:Choice Requires="wps">
            <w:drawing>
              <wp:inline distT="45720" distB="45720" distL="114300" distR="114300" wp14:anchorId="6980F080" wp14:editId="129757E3">
                <wp:extent cx="5688965" cy="4443730"/>
                <wp:effectExtent l="19050" t="19050" r="26035" b="13970"/>
                <wp:docPr id="881498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965" cy="4443730"/>
                        </a:xfrm>
                        <a:prstGeom prst="rect">
                          <a:avLst/>
                        </a:prstGeom>
                        <a:noFill/>
                        <a:ln w="28575">
                          <a:solidFill>
                            <a:srgbClr val="7FCDD3"/>
                          </a:solidFill>
                          <a:miter lim="800000"/>
                          <a:headEnd/>
                          <a:tailEnd/>
                        </a:ln>
                      </wps:spPr>
                      <wps:txbx>
                        <w:txbxContent>
                          <w:p w14:paraId="4904323B" w14:textId="77777777" w:rsidR="007A4FC3" w:rsidRPr="00AE5B2E" w:rsidRDefault="007A4FC3" w:rsidP="00107FFB">
                            <w:pPr>
                              <w:rPr>
                                <w:rFonts w:ascii="Verdana" w:hAnsi="Verdana"/>
                                <w:i/>
                                <w:iCs/>
                                <w:color w:val="2D7C82"/>
                                <w:sz w:val="22"/>
                                <w:szCs w:val="22"/>
                                <w:u w:val="single"/>
                              </w:rPr>
                            </w:pPr>
                            <w:r w:rsidRPr="00AE5B2E">
                              <w:rPr>
                                <w:rFonts w:ascii="Verdana" w:hAnsi="Verdana"/>
                                <w:i/>
                                <w:iCs/>
                                <w:color w:val="2D7C82"/>
                                <w:sz w:val="22"/>
                                <w:szCs w:val="22"/>
                                <w:u w:val="single"/>
                              </w:rPr>
                              <w:t>Key Messages</w:t>
                            </w:r>
                          </w:p>
                          <w:p w14:paraId="4107CEFC" w14:textId="77777777" w:rsidR="007A4FC3" w:rsidRPr="00AE5B2E" w:rsidRDefault="007A4FC3" w:rsidP="00107FFB">
                            <w:pPr>
                              <w:numPr>
                                <w:ilvl w:val="0"/>
                                <w:numId w:val="3"/>
                              </w:numPr>
                              <w:rPr>
                                <w:rFonts w:ascii="Verdana" w:hAnsi="Verdana"/>
                                <w:i/>
                                <w:iCs/>
                                <w:color w:val="2D7C82"/>
                                <w:sz w:val="22"/>
                                <w:szCs w:val="22"/>
                              </w:rPr>
                            </w:pPr>
                            <w:r w:rsidRPr="00AE5B2E">
                              <w:rPr>
                                <w:rFonts w:ascii="Verdana" w:hAnsi="Verdana"/>
                                <w:i/>
                                <w:iCs/>
                                <w:color w:val="2D7C82"/>
                                <w:sz w:val="22"/>
                                <w:szCs w:val="22"/>
                              </w:rPr>
                              <w:t>The COVID-19 pandemic has resulted in a changed landscape in sexual health. Kent services have adapted by introducing more availability of online services, for example asymptomatic testing via the online testing route.</w:t>
                            </w:r>
                            <w:r>
                              <w:rPr>
                                <w:rFonts w:ascii="Verdana" w:hAnsi="Verdana"/>
                                <w:i/>
                                <w:iCs/>
                                <w:color w:val="2D7C82"/>
                                <w:sz w:val="22"/>
                                <w:szCs w:val="22"/>
                              </w:rPr>
                              <w:br/>
                            </w:r>
                          </w:p>
                          <w:p w14:paraId="639C734F" w14:textId="77777777" w:rsidR="007A4FC3" w:rsidRPr="00AE5B2E" w:rsidRDefault="007A4FC3" w:rsidP="00107FFB">
                            <w:pPr>
                              <w:numPr>
                                <w:ilvl w:val="0"/>
                                <w:numId w:val="4"/>
                              </w:numPr>
                              <w:rPr>
                                <w:rFonts w:ascii="Verdana" w:hAnsi="Verdana"/>
                                <w:i/>
                                <w:iCs/>
                                <w:color w:val="2D7C82"/>
                                <w:sz w:val="22"/>
                                <w:szCs w:val="22"/>
                              </w:rPr>
                            </w:pPr>
                            <w:r w:rsidRPr="00AE5B2E">
                              <w:rPr>
                                <w:rFonts w:ascii="Verdana" w:hAnsi="Verdana"/>
                                <w:i/>
                                <w:iCs/>
                                <w:color w:val="2D7C82"/>
                                <w:sz w:val="22"/>
                                <w:szCs w:val="22"/>
                              </w:rPr>
                              <w:t>Since 2020, there have been several national policy changes and strategies that influence sexual health including the Women’s Health Strategy, the addition of oral contraception availability in pharmacies, introduction of statutory relationship and sex education in schools and changes in the way people can access termination of pregnancy services.</w:t>
                            </w:r>
                            <w:r>
                              <w:rPr>
                                <w:rFonts w:ascii="Verdana" w:hAnsi="Verdana"/>
                                <w:i/>
                                <w:iCs/>
                                <w:color w:val="2D7C82"/>
                                <w:sz w:val="22"/>
                                <w:szCs w:val="22"/>
                              </w:rPr>
                              <w:br/>
                            </w:r>
                          </w:p>
                          <w:p w14:paraId="04008EC5" w14:textId="77777777" w:rsidR="007A4FC3" w:rsidRPr="00AE5B2E" w:rsidRDefault="007A4FC3" w:rsidP="00107FFB">
                            <w:pPr>
                              <w:numPr>
                                <w:ilvl w:val="0"/>
                                <w:numId w:val="4"/>
                              </w:numPr>
                              <w:rPr>
                                <w:rFonts w:ascii="Verdana" w:hAnsi="Verdana"/>
                                <w:i/>
                                <w:iCs/>
                                <w:color w:val="2D7C82"/>
                                <w:sz w:val="22"/>
                                <w:szCs w:val="22"/>
                              </w:rPr>
                            </w:pPr>
                            <w:r w:rsidRPr="00AE5B2E">
                              <w:rPr>
                                <w:rFonts w:ascii="Verdana" w:hAnsi="Verdana"/>
                                <w:i/>
                                <w:iCs/>
                                <w:color w:val="2D7C82"/>
                                <w:sz w:val="22"/>
                                <w:szCs w:val="22"/>
                              </w:rPr>
                              <w:t>Sexual health attitudes and behaviours have changed, for example with the growth of digital and social media apps and engagement in risky sexual behaviours.</w:t>
                            </w:r>
                            <w:r>
                              <w:rPr>
                                <w:rFonts w:ascii="Verdana" w:hAnsi="Verdana"/>
                                <w:i/>
                                <w:iCs/>
                                <w:color w:val="2D7C82"/>
                                <w:sz w:val="22"/>
                                <w:szCs w:val="22"/>
                              </w:rPr>
                              <w:br/>
                            </w:r>
                          </w:p>
                          <w:p w14:paraId="2471D2B7" w14:textId="77777777" w:rsidR="007A4FC3" w:rsidRPr="00AE5B2E" w:rsidRDefault="007A4FC3" w:rsidP="00107FFB">
                            <w:pPr>
                              <w:numPr>
                                <w:ilvl w:val="0"/>
                                <w:numId w:val="4"/>
                              </w:numPr>
                              <w:rPr>
                                <w:rFonts w:ascii="Verdana" w:hAnsi="Verdana"/>
                                <w:i/>
                                <w:iCs/>
                                <w:color w:val="2D7C82"/>
                                <w:sz w:val="22"/>
                                <w:szCs w:val="22"/>
                              </w:rPr>
                            </w:pPr>
                            <w:r w:rsidRPr="00AE5B2E">
                              <w:rPr>
                                <w:rFonts w:ascii="Verdana" w:hAnsi="Verdana"/>
                                <w:i/>
                                <w:iCs/>
                                <w:color w:val="2D7C82"/>
                                <w:sz w:val="22"/>
                                <w:szCs w:val="22"/>
                              </w:rPr>
                              <w:t>Reductions in spending for sexual health services has been affected by cuts to the public health grant.</w:t>
                            </w:r>
                          </w:p>
                        </w:txbxContent>
                      </wps:txbx>
                      <wps:bodyPr rot="0" vert="horz" wrap="square" lIns="91440" tIns="45720" rIns="91440" bIns="45720" anchor="t" anchorCtr="0">
                        <a:spAutoFit/>
                      </wps:bodyPr>
                    </wps:wsp>
                  </a:graphicData>
                </a:graphic>
              </wp:inline>
            </w:drawing>
          </mc:Choice>
          <mc:Fallback>
            <w:pict>
              <v:shapetype w14:anchorId="6980F080" id="_x0000_t202" coordsize="21600,21600" o:spt="202" path="m,l,21600r21600,l21600,xe">
                <v:stroke joinstyle="miter"/>
                <v:path gradientshapeok="t" o:connecttype="rect"/>
              </v:shapetype>
              <v:shape id="Text Box 2" o:spid="_x0000_s1026" type="#_x0000_t202" style="width:447.95pt;height:34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" filled="f" strokecolor="#7fcdd3" strokeweight="2.25pt">
                <v:textbox style="mso-fit-shape-to-text:t">
                  <w:txbxContent>
                    <w:p w14:paraId="4904323B" w14:textId="77777777" w:rsidR="007A4FC3" w:rsidRPr="00AE5B2E" w:rsidRDefault="007A4FC3" w:rsidP="00107FFB">
                      <w:pPr>
                        <w:rPr>
                          <w:rFonts w:ascii="Verdana" w:hAnsi="Verdana"/>
                          <w:i/>
                          <w:iCs/>
                          <w:color w:val="2D7C82"/>
                          <w:sz w:val="22"/>
                          <w:szCs w:val="22"/>
                          <w:u w:val="single"/>
                        </w:rPr>
                      </w:pPr>
                      <w:r w:rsidRPr="00AE5B2E">
                        <w:rPr>
                          <w:rFonts w:ascii="Verdana" w:hAnsi="Verdana"/>
                          <w:i/>
                          <w:iCs/>
                          <w:color w:val="2D7C82"/>
                          <w:sz w:val="22"/>
                          <w:szCs w:val="22"/>
                          <w:u w:val="single"/>
                        </w:rPr>
                        <w:t>Key Messages</w:t>
                      </w:r>
                    </w:p>
                    <w:p w14:paraId="4107CEFC" w14:textId="77777777" w:rsidR="007A4FC3" w:rsidRPr="00AE5B2E" w:rsidRDefault="007A4FC3" w:rsidP="00107FFB">
                      <w:pPr>
                        <w:numPr>
                          <w:ilvl w:val="0"/>
                          <w:numId w:val="3"/>
                        </w:numPr>
                        <w:rPr>
                          <w:rFonts w:ascii="Verdana" w:hAnsi="Verdana"/>
                          <w:i/>
                          <w:iCs/>
                          <w:color w:val="2D7C82"/>
                          <w:sz w:val="22"/>
                          <w:szCs w:val="22"/>
                        </w:rPr>
                      </w:pPr>
                      <w:r w:rsidRPr="00AE5B2E">
                        <w:rPr>
                          <w:rFonts w:ascii="Verdana" w:hAnsi="Verdana"/>
                          <w:i/>
                          <w:iCs/>
                          <w:color w:val="2D7C82"/>
                          <w:sz w:val="22"/>
                          <w:szCs w:val="22"/>
                        </w:rPr>
                        <w:t>The COVID-19 pandemic has resulted in a changed landscape in sexual health. Kent services have adapted by introducing more availability of online services, for example asymptomatic testing via the online testing route.</w:t>
                      </w:r>
                      <w:r>
                        <w:rPr>
                          <w:rFonts w:ascii="Verdana" w:hAnsi="Verdana"/>
                          <w:i/>
                          <w:iCs/>
                          <w:color w:val="2D7C82"/>
                          <w:sz w:val="22"/>
                          <w:szCs w:val="22"/>
                        </w:rPr>
                        <w:br/>
                      </w:r>
                    </w:p>
                    <w:p w14:paraId="639C734F" w14:textId="77777777" w:rsidR="007A4FC3" w:rsidRPr="00AE5B2E" w:rsidRDefault="007A4FC3" w:rsidP="00107FFB">
                      <w:pPr>
                        <w:numPr>
                          <w:ilvl w:val="0"/>
                          <w:numId w:val="4"/>
                        </w:numPr>
                        <w:rPr>
                          <w:rFonts w:ascii="Verdana" w:hAnsi="Verdana"/>
                          <w:i/>
                          <w:iCs/>
                          <w:color w:val="2D7C82"/>
                          <w:sz w:val="22"/>
                          <w:szCs w:val="22"/>
                        </w:rPr>
                      </w:pPr>
                      <w:r w:rsidRPr="00AE5B2E">
                        <w:rPr>
                          <w:rFonts w:ascii="Verdana" w:hAnsi="Verdana"/>
                          <w:i/>
                          <w:iCs/>
                          <w:color w:val="2D7C82"/>
                          <w:sz w:val="22"/>
                          <w:szCs w:val="22"/>
                        </w:rPr>
                        <w:t>Since 2020, there have been several national policy changes and strategies that influence sexual health including the Women’s Health Strategy, the addition of oral contraception availability in pharmacies, introduction of statutory relationship and sex education in schools and changes in the way people can access termination of pregnancy services.</w:t>
                      </w:r>
                      <w:r>
                        <w:rPr>
                          <w:rFonts w:ascii="Verdana" w:hAnsi="Verdana"/>
                          <w:i/>
                          <w:iCs/>
                          <w:color w:val="2D7C82"/>
                          <w:sz w:val="22"/>
                          <w:szCs w:val="22"/>
                        </w:rPr>
                        <w:br/>
                      </w:r>
                    </w:p>
                    <w:p w14:paraId="04008EC5" w14:textId="77777777" w:rsidR="007A4FC3" w:rsidRPr="00AE5B2E" w:rsidRDefault="007A4FC3" w:rsidP="00107FFB">
                      <w:pPr>
                        <w:numPr>
                          <w:ilvl w:val="0"/>
                          <w:numId w:val="4"/>
                        </w:numPr>
                        <w:rPr>
                          <w:rFonts w:ascii="Verdana" w:hAnsi="Verdana"/>
                          <w:i/>
                          <w:iCs/>
                          <w:color w:val="2D7C82"/>
                          <w:sz w:val="22"/>
                          <w:szCs w:val="22"/>
                        </w:rPr>
                      </w:pPr>
                      <w:r w:rsidRPr="00AE5B2E">
                        <w:rPr>
                          <w:rFonts w:ascii="Verdana" w:hAnsi="Verdana"/>
                          <w:i/>
                          <w:iCs/>
                          <w:color w:val="2D7C82"/>
                          <w:sz w:val="22"/>
                          <w:szCs w:val="22"/>
                        </w:rPr>
                        <w:t>Sexual health attitudes and behaviours have changed, for example with the growth of digital and social media apps and engagement in risky sexual behaviours.</w:t>
                      </w:r>
                      <w:r>
                        <w:rPr>
                          <w:rFonts w:ascii="Verdana" w:hAnsi="Verdana"/>
                          <w:i/>
                          <w:iCs/>
                          <w:color w:val="2D7C82"/>
                          <w:sz w:val="22"/>
                          <w:szCs w:val="22"/>
                        </w:rPr>
                        <w:br/>
                      </w:r>
                    </w:p>
                    <w:p w14:paraId="2471D2B7" w14:textId="77777777" w:rsidR="007A4FC3" w:rsidRPr="00AE5B2E" w:rsidRDefault="007A4FC3" w:rsidP="00107FFB">
                      <w:pPr>
                        <w:numPr>
                          <w:ilvl w:val="0"/>
                          <w:numId w:val="4"/>
                        </w:numPr>
                        <w:rPr>
                          <w:rFonts w:ascii="Verdana" w:hAnsi="Verdana"/>
                          <w:i/>
                          <w:iCs/>
                          <w:color w:val="2D7C82"/>
                          <w:sz w:val="22"/>
                          <w:szCs w:val="22"/>
                        </w:rPr>
                      </w:pPr>
                      <w:r w:rsidRPr="00AE5B2E">
                        <w:rPr>
                          <w:rFonts w:ascii="Verdana" w:hAnsi="Verdana"/>
                          <w:i/>
                          <w:iCs/>
                          <w:color w:val="2D7C82"/>
                          <w:sz w:val="22"/>
                          <w:szCs w:val="22"/>
                        </w:rPr>
                        <w:t>Reductions in spending for sexual health services has been affected by cuts to the public health grant.</w:t>
                      </w:r>
                    </w:p>
                  </w:txbxContent>
                </v:textbox>
                <w10:anchorlock/>
              </v:shape>
            </w:pict>
          </mc:Fallback>
        </mc:AlternateContent>
      </w:r>
    </w:p>
    <w:p w14:paraId="2FAC02DE" w14:textId="77777777" w:rsidR="7E3A0DC0" w:rsidRPr="008D6AC4" w:rsidRDefault="066D0B28" w:rsidP="6B6441F1">
      <w:pPr>
        <w:jc w:val="both"/>
        <w:rPr>
          <w:rFonts w:ascii="Verdana" w:hAnsi="Verdana"/>
          <w:sz w:val="22"/>
          <w:szCs w:val="22"/>
        </w:rPr>
      </w:pPr>
      <w:r w:rsidRPr="008D6AC4">
        <w:rPr>
          <w:rFonts w:ascii="Verdana" w:hAnsi="Verdana"/>
          <w:sz w:val="22"/>
          <w:szCs w:val="22"/>
        </w:rPr>
        <w:t xml:space="preserve">Sexual health is a long accepted public health issue. </w:t>
      </w:r>
      <w:r w:rsidR="2E4816B6" w:rsidRPr="008D6AC4">
        <w:rPr>
          <w:rFonts w:ascii="Verdana" w:hAnsi="Verdana"/>
          <w:sz w:val="22"/>
          <w:szCs w:val="22"/>
        </w:rPr>
        <w:t xml:space="preserve">The World Health Organisation expanded the definition </w:t>
      </w:r>
      <w:r w:rsidR="2487F177" w:rsidRPr="008D6AC4">
        <w:rPr>
          <w:rFonts w:ascii="Verdana" w:hAnsi="Verdana"/>
          <w:sz w:val="22"/>
          <w:szCs w:val="22"/>
        </w:rPr>
        <w:t xml:space="preserve">in 2006 </w:t>
      </w:r>
      <w:r w:rsidR="2E4816B6" w:rsidRPr="008D6AC4">
        <w:rPr>
          <w:rFonts w:ascii="Verdana" w:hAnsi="Verdana"/>
          <w:sz w:val="22"/>
          <w:szCs w:val="22"/>
        </w:rPr>
        <w:t xml:space="preserve">to reflect that sexual health </w:t>
      </w:r>
      <w:r w:rsidR="2E4816B6" w:rsidRPr="008D6AC4">
        <w:rPr>
          <w:rFonts w:ascii="Verdana" w:hAnsi="Verdana"/>
          <w:sz w:val="22"/>
          <w:szCs w:val="22"/>
        </w:rPr>
        <w:lastRenderedPageBreak/>
        <w:t xml:space="preserve">encompasses many aspects of a </w:t>
      </w:r>
      <w:r w:rsidR="3007B815" w:rsidRPr="008D6AC4">
        <w:rPr>
          <w:rFonts w:ascii="Verdana" w:hAnsi="Verdana"/>
          <w:sz w:val="22"/>
          <w:szCs w:val="22"/>
        </w:rPr>
        <w:t>person's</w:t>
      </w:r>
      <w:r w:rsidR="2E4816B6" w:rsidRPr="008D6AC4">
        <w:rPr>
          <w:rFonts w:ascii="Verdana" w:hAnsi="Verdana"/>
          <w:sz w:val="22"/>
          <w:szCs w:val="22"/>
        </w:rPr>
        <w:t xml:space="preserve"> wellbeing and safety, as well as </w:t>
      </w:r>
      <w:r w:rsidR="5732B7C6" w:rsidRPr="008D6AC4">
        <w:rPr>
          <w:rFonts w:ascii="Verdana" w:hAnsi="Verdana"/>
          <w:sz w:val="22"/>
          <w:szCs w:val="22"/>
        </w:rPr>
        <w:t>the absence of disease</w:t>
      </w:r>
      <w:r w:rsidR="7E3A0DC0" w:rsidRPr="008D6AC4">
        <w:rPr>
          <w:rStyle w:val="FootnoteReference"/>
          <w:rFonts w:ascii="Verdana" w:hAnsi="Verdana"/>
          <w:sz w:val="22"/>
          <w:szCs w:val="22"/>
        </w:rPr>
        <w:footnoteReference w:id="2"/>
      </w:r>
      <w:r w:rsidR="5732B7C6" w:rsidRPr="008D6AC4">
        <w:rPr>
          <w:rFonts w:ascii="Verdana" w:hAnsi="Verdana"/>
          <w:sz w:val="22"/>
          <w:szCs w:val="22"/>
        </w:rPr>
        <w:t xml:space="preserve">. Further </w:t>
      </w:r>
      <w:r w:rsidR="294BAECF" w:rsidRPr="008D6AC4">
        <w:rPr>
          <w:rFonts w:ascii="Verdana" w:hAnsi="Verdana"/>
          <w:sz w:val="22"/>
          <w:szCs w:val="22"/>
        </w:rPr>
        <w:t>narrative</w:t>
      </w:r>
      <w:r w:rsidR="5732B7C6" w:rsidRPr="008D6AC4">
        <w:rPr>
          <w:rFonts w:ascii="Verdana" w:hAnsi="Verdana"/>
          <w:sz w:val="22"/>
          <w:szCs w:val="22"/>
        </w:rPr>
        <w:t xml:space="preserve"> </w:t>
      </w:r>
      <w:r w:rsidR="7BE947B1" w:rsidRPr="008D6AC4">
        <w:rPr>
          <w:rFonts w:ascii="Verdana" w:hAnsi="Verdana"/>
          <w:sz w:val="22"/>
          <w:szCs w:val="22"/>
        </w:rPr>
        <w:t>explains that societ</w:t>
      </w:r>
      <w:r w:rsidR="3D9AE918" w:rsidRPr="008D6AC4">
        <w:rPr>
          <w:rFonts w:ascii="Verdana" w:hAnsi="Verdana"/>
          <w:sz w:val="22"/>
          <w:szCs w:val="22"/>
        </w:rPr>
        <w:t>ies</w:t>
      </w:r>
      <w:r w:rsidR="7BE947B1" w:rsidRPr="008D6AC4">
        <w:rPr>
          <w:rFonts w:ascii="Verdana" w:hAnsi="Verdana"/>
          <w:sz w:val="22"/>
          <w:szCs w:val="22"/>
        </w:rPr>
        <w:t>, econom</w:t>
      </w:r>
      <w:r w:rsidR="2D5E297B" w:rsidRPr="008D6AC4">
        <w:rPr>
          <w:rFonts w:ascii="Verdana" w:hAnsi="Verdana"/>
          <w:sz w:val="22"/>
          <w:szCs w:val="22"/>
        </w:rPr>
        <w:t>ies</w:t>
      </w:r>
      <w:r w:rsidR="7BE947B1" w:rsidRPr="008D6AC4">
        <w:rPr>
          <w:rFonts w:ascii="Verdana" w:hAnsi="Verdana"/>
          <w:sz w:val="22"/>
          <w:szCs w:val="22"/>
        </w:rPr>
        <w:t xml:space="preserve">, and interpersonal development of communities are all influenced through improving sexual health and wellbeing </w:t>
      </w:r>
      <w:r w:rsidR="3591D1B2" w:rsidRPr="008D6AC4">
        <w:rPr>
          <w:rFonts w:ascii="Verdana" w:hAnsi="Verdana"/>
          <w:sz w:val="22"/>
          <w:szCs w:val="22"/>
        </w:rPr>
        <w:t>in</w:t>
      </w:r>
      <w:r w:rsidR="7BE947B1" w:rsidRPr="008D6AC4">
        <w:rPr>
          <w:rFonts w:ascii="Verdana" w:hAnsi="Verdana"/>
          <w:sz w:val="22"/>
          <w:szCs w:val="22"/>
        </w:rPr>
        <w:t xml:space="preserve"> the population</w:t>
      </w:r>
      <w:r w:rsidR="7E3A0DC0" w:rsidRPr="008D6AC4">
        <w:rPr>
          <w:rStyle w:val="FootnoteReference"/>
          <w:rFonts w:ascii="Verdana" w:hAnsi="Verdana"/>
          <w:sz w:val="22"/>
          <w:szCs w:val="22"/>
        </w:rPr>
        <w:footnoteReference w:id="3"/>
      </w:r>
      <w:r w:rsidR="7BE947B1" w:rsidRPr="008D6AC4">
        <w:rPr>
          <w:rFonts w:ascii="Verdana" w:hAnsi="Verdana"/>
          <w:sz w:val="22"/>
          <w:szCs w:val="22"/>
        </w:rPr>
        <w:t xml:space="preserve">. </w:t>
      </w:r>
      <w:r w:rsidR="192114AE" w:rsidRPr="008D6AC4">
        <w:rPr>
          <w:rFonts w:ascii="Verdana" w:hAnsi="Verdana"/>
          <w:sz w:val="22"/>
          <w:szCs w:val="22"/>
        </w:rPr>
        <w:t xml:space="preserve">To demonstrate the breadth of sexual health and wellbeing the below </w:t>
      </w:r>
      <w:r w:rsidR="0164F8C5" w:rsidRPr="008D6AC4">
        <w:rPr>
          <w:rFonts w:ascii="Verdana" w:hAnsi="Verdana"/>
          <w:sz w:val="22"/>
          <w:szCs w:val="22"/>
        </w:rPr>
        <w:t>proposed model by Mitchell et al</w:t>
      </w:r>
      <w:r w:rsidR="7E3A0DC0" w:rsidRPr="008D6AC4">
        <w:rPr>
          <w:rStyle w:val="FootnoteReference"/>
          <w:rFonts w:ascii="Verdana" w:hAnsi="Verdana"/>
          <w:sz w:val="22"/>
          <w:szCs w:val="22"/>
        </w:rPr>
        <w:footnoteReference w:id="4"/>
      </w:r>
      <w:r w:rsidR="192114AE" w:rsidRPr="008D6AC4">
        <w:rPr>
          <w:rFonts w:ascii="Verdana" w:hAnsi="Verdana"/>
          <w:sz w:val="22"/>
          <w:szCs w:val="22"/>
        </w:rPr>
        <w:t xml:space="preserve"> visualises the </w:t>
      </w:r>
      <w:r w:rsidR="65EAD048" w:rsidRPr="008D6AC4">
        <w:rPr>
          <w:rFonts w:ascii="Verdana" w:hAnsi="Verdana"/>
          <w:sz w:val="22"/>
          <w:szCs w:val="22"/>
        </w:rPr>
        <w:t>different</w:t>
      </w:r>
      <w:r w:rsidR="6B33B153" w:rsidRPr="008D6AC4">
        <w:rPr>
          <w:rFonts w:ascii="Verdana" w:hAnsi="Verdana"/>
          <w:sz w:val="22"/>
          <w:szCs w:val="22"/>
        </w:rPr>
        <w:t xml:space="preserve"> </w:t>
      </w:r>
      <w:r w:rsidR="192114AE" w:rsidRPr="008D6AC4">
        <w:rPr>
          <w:rFonts w:ascii="Verdana" w:hAnsi="Verdana"/>
          <w:sz w:val="22"/>
          <w:szCs w:val="22"/>
        </w:rPr>
        <w:t>remit</w:t>
      </w:r>
      <w:r w:rsidR="7C28EB25" w:rsidRPr="008D6AC4">
        <w:rPr>
          <w:rFonts w:ascii="Verdana" w:hAnsi="Verdana"/>
          <w:sz w:val="22"/>
          <w:szCs w:val="22"/>
        </w:rPr>
        <w:t>s</w:t>
      </w:r>
      <w:r w:rsidR="7A6DCB28" w:rsidRPr="008D6AC4">
        <w:rPr>
          <w:rFonts w:ascii="Verdana" w:hAnsi="Verdana"/>
          <w:sz w:val="22"/>
          <w:szCs w:val="22"/>
        </w:rPr>
        <w:t xml:space="preserve"> that when put together, encompass</w:t>
      </w:r>
      <w:r w:rsidR="71E74E6D" w:rsidRPr="008D6AC4">
        <w:rPr>
          <w:rFonts w:ascii="Verdana" w:hAnsi="Verdana"/>
          <w:sz w:val="22"/>
          <w:szCs w:val="22"/>
        </w:rPr>
        <w:t xml:space="preserve"> </w:t>
      </w:r>
      <w:r w:rsidR="0210F560" w:rsidRPr="008D6AC4">
        <w:rPr>
          <w:rFonts w:ascii="Verdana" w:hAnsi="Verdana"/>
          <w:sz w:val="22"/>
          <w:szCs w:val="22"/>
        </w:rPr>
        <w:t>holistic</w:t>
      </w:r>
      <w:r w:rsidR="71E74E6D" w:rsidRPr="008D6AC4">
        <w:rPr>
          <w:rFonts w:ascii="Verdana" w:hAnsi="Verdana"/>
          <w:sz w:val="22"/>
          <w:szCs w:val="22"/>
        </w:rPr>
        <w:t xml:space="preserve"> </w:t>
      </w:r>
      <w:r w:rsidR="23F4DF7B" w:rsidRPr="008D6AC4">
        <w:rPr>
          <w:rFonts w:ascii="Verdana" w:hAnsi="Verdana"/>
          <w:sz w:val="22"/>
          <w:szCs w:val="22"/>
        </w:rPr>
        <w:t>sexual health</w:t>
      </w:r>
      <w:r w:rsidR="6B9737AF" w:rsidRPr="008D6AC4">
        <w:rPr>
          <w:rFonts w:ascii="Verdana" w:hAnsi="Verdana"/>
          <w:sz w:val="22"/>
          <w:szCs w:val="22"/>
        </w:rPr>
        <w:t xml:space="preserve"> needs</w:t>
      </w:r>
      <w:r w:rsidR="23F4DF7B" w:rsidRPr="008D6AC4">
        <w:rPr>
          <w:rFonts w:ascii="Verdana" w:hAnsi="Verdana"/>
          <w:sz w:val="22"/>
          <w:szCs w:val="22"/>
        </w:rPr>
        <w:t>.</w:t>
      </w:r>
      <w:r w:rsidR="4D68B758" w:rsidRPr="008D6AC4">
        <w:rPr>
          <w:rFonts w:ascii="Verdana" w:hAnsi="Verdana"/>
          <w:sz w:val="22"/>
          <w:szCs w:val="22"/>
        </w:rPr>
        <w:t xml:space="preserve"> (</w:t>
      </w:r>
      <w:r w:rsidR="4D68B758" w:rsidRPr="136F3BEB">
        <w:rPr>
          <w:rFonts w:ascii="Verdana" w:hAnsi="Verdana"/>
          <w:b/>
          <w:bCs/>
          <w:sz w:val="22"/>
          <w:szCs w:val="22"/>
        </w:rPr>
        <w:t>Figure 1</w:t>
      </w:r>
      <w:r w:rsidR="4D68B758" w:rsidRPr="008D6AC4">
        <w:rPr>
          <w:rFonts w:ascii="Verdana" w:hAnsi="Verdana"/>
          <w:sz w:val="22"/>
          <w:szCs w:val="22"/>
        </w:rPr>
        <w:t>).</w:t>
      </w:r>
      <w:r w:rsidR="23F4DF7B" w:rsidRPr="008D6AC4">
        <w:rPr>
          <w:rFonts w:ascii="Verdana" w:hAnsi="Verdana"/>
          <w:sz w:val="22"/>
          <w:szCs w:val="22"/>
        </w:rPr>
        <w:t xml:space="preserve"> </w:t>
      </w:r>
    </w:p>
    <w:p w14:paraId="74F6C1B5" w14:textId="77777777" w:rsidR="67136C4F" w:rsidRPr="008D6AC4" w:rsidRDefault="08E70C9D" w:rsidP="6B6441F1">
      <w:pPr>
        <w:jc w:val="both"/>
        <w:rPr>
          <w:rFonts w:ascii="Verdana" w:hAnsi="Verdana"/>
          <w:sz w:val="22"/>
          <w:szCs w:val="22"/>
        </w:rPr>
      </w:pPr>
      <w:r w:rsidRPr="136F3BEB">
        <w:rPr>
          <w:rFonts w:ascii="Verdana" w:hAnsi="Verdana"/>
          <w:sz w:val="22"/>
          <w:szCs w:val="22"/>
        </w:rPr>
        <w:t>Many aspects of th</w:t>
      </w:r>
      <w:r w:rsidR="533BA443" w:rsidRPr="136F3BEB">
        <w:rPr>
          <w:rFonts w:ascii="Verdana" w:hAnsi="Verdana"/>
          <w:sz w:val="22"/>
          <w:szCs w:val="22"/>
        </w:rPr>
        <w:t>is</w:t>
      </w:r>
      <w:r w:rsidR="54B180FA" w:rsidRPr="136F3BEB">
        <w:rPr>
          <w:rFonts w:ascii="Verdana" w:hAnsi="Verdana"/>
          <w:sz w:val="22"/>
          <w:szCs w:val="22"/>
        </w:rPr>
        <w:t xml:space="preserve"> </w:t>
      </w:r>
      <w:r w:rsidRPr="136F3BEB">
        <w:rPr>
          <w:rFonts w:ascii="Verdana" w:hAnsi="Verdana"/>
          <w:sz w:val="22"/>
          <w:szCs w:val="22"/>
        </w:rPr>
        <w:t xml:space="preserve">model will be </w:t>
      </w:r>
      <w:r w:rsidR="6C03A592" w:rsidRPr="136F3BEB">
        <w:rPr>
          <w:rFonts w:ascii="Verdana" w:hAnsi="Verdana"/>
          <w:sz w:val="22"/>
          <w:szCs w:val="22"/>
        </w:rPr>
        <w:t>reflected</w:t>
      </w:r>
      <w:r w:rsidRPr="136F3BEB">
        <w:rPr>
          <w:rFonts w:ascii="Verdana" w:hAnsi="Verdana"/>
          <w:sz w:val="22"/>
          <w:szCs w:val="22"/>
        </w:rPr>
        <w:t xml:space="preserve"> throughout this report</w:t>
      </w:r>
      <w:r w:rsidR="2389A16B" w:rsidRPr="136F3BEB">
        <w:rPr>
          <w:rFonts w:ascii="Verdana" w:hAnsi="Verdana"/>
          <w:sz w:val="22"/>
          <w:szCs w:val="22"/>
        </w:rPr>
        <w:t>,</w:t>
      </w:r>
      <w:r w:rsidR="7C049273" w:rsidRPr="136F3BEB">
        <w:rPr>
          <w:rFonts w:ascii="Verdana" w:hAnsi="Verdana"/>
          <w:sz w:val="22"/>
          <w:szCs w:val="22"/>
        </w:rPr>
        <w:t xml:space="preserve"> including contraception, STI transmission, violence against women and girls, reducing stigma, </w:t>
      </w:r>
      <w:r w:rsidR="60836936" w:rsidRPr="136F3BEB">
        <w:rPr>
          <w:rFonts w:ascii="Verdana" w:hAnsi="Verdana"/>
          <w:sz w:val="22"/>
          <w:szCs w:val="22"/>
        </w:rPr>
        <w:t>and psychosexual aspects of sexual health. I</w:t>
      </w:r>
      <w:r w:rsidR="2389A16B" w:rsidRPr="136F3BEB">
        <w:rPr>
          <w:rFonts w:ascii="Verdana" w:hAnsi="Verdana"/>
          <w:sz w:val="22"/>
          <w:szCs w:val="22"/>
        </w:rPr>
        <w:t xml:space="preserve">t is hoped that by outlining the full reach of </w:t>
      </w:r>
      <w:r w:rsidR="480606AC" w:rsidRPr="136F3BEB">
        <w:rPr>
          <w:rFonts w:ascii="Verdana" w:hAnsi="Verdana"/>
          <w:sz w:val="22"/>
          <w:szCs w:val="22"/>
        </w:rPr>
        <w:t>sexual health needs we can identify areas for improvement to s</w:t>
      </w:r>
      <w:r w:rsidR="0700FBB9" w:rsidRPr="136F3BEB">
        <w:rPr>
          <w:rFonts w:ascii="Verdana" w:hAnsi="Verdana"/>
          <w:sz w:val="22"/>
          <w:szCs w:val="22"/>
        </w:rPr>
        <w:t xml:space="preserve">upport and enable the Kent population to reach positive sexual health and wellbeing. </w:t>
      </w:r>
    </w:p>
    <w:p w14:paraId="39722C66" w14:textId="77777777" w:rsidR="33C55CA2" w:rsidRPr="008D6AC4" w:rsidRDefault="58F9F16C" w:rsidP="30256440">
      <w:pPr>
        <w:jc w:val="both"/>
        <w:rPr>
          <w:rStyle w:val="FootnoteReference"/>
          <w:rFonts w:ascii="Verdana" w:hAnsi="Verdana"/>
        </w:rPr>
      </w:pPr>
      <w:r w:rsidRPr="008D6AC4">
        <w:rPr>
          <w:rFonts w:ascii="Verdana" w:hAnsi="Verdana"/>
          <w:noProof/>
        </w:rPr>
        <w:lastRenderedPageBreak/>
        <w:drawing>
          <wp:inline distT="0" distB="0" distL="0" distR="0" wp14:anchorId="53135CD5" wp14:editId="28DD2827">
            <wp:extent cx="5724524" cy="5219702"/>
            <wp:effectExtent l="38100" t="38100" r="29210" b="38100"/>
            <wp:docPr id="2083918254" name="Picture 2083918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18254" name="Picture 2083918254">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5724524" cy="5219702"/>
                    </a:xfrm>
                    <a:prstGeom prst="rect">
                      <a:avLst/>
                    </a:prstGeom>
                    <a:ln w="28575">
                      <a:solidFill>
                        <a:srgbClr val="7FCDD3"/>
                      </a:solidFill>
                    </a:ln>
                  </pic:spPr>
                </pic:pic>
              </a:graphicData>
            </a:graphic>
          </wp:inline>
        </w:drawing>
      </w:r>
      <w:r w:rsidR="6E776A93" w:rsidRPr="136F3BEB">
        <w:rPr>
          <w:rStyle w:val="FootnoteReference"/>
          <w:rFonts w:ascii="Verdana" w:hAnsi="Verdana"/>
        </w:rPr>
        <w:t xml:space="preserve">Figure 1: Model of </w:t>
      </w:r>
      <w:r w:rsidR="4B0D2401" w:rsidRPr="136F3BEB">
        <w:rPr>
          <w:rStyle w:val="FootnoteReference"/>
          <w:rFonts w:ascii="Verdana" w:hAnsi="Verdana"/>
        </w:rPr>
        <w:t>Holistic Sexual Health</w:t>
      </w:r>
    </w:p>
    <w:p w14:paraId="6C1E1167" w14:textId="77777777" w:rsidR="7E3A0DC0" w:rsidRPr="008D6AC4" w:rsidRDefault="7E3A0DC0" w:rsidP="7E3A0DC0">
      <w:pPr>
        <w:jc w:val="both"/>
        <w:rPr>
          <w:rFonts w:ascii="Verdana" w:hAnsi="Verdana"/>
          <w:sz w:val="22"/>
          <w:szCs w:val="22"/>
        </w:rPr>
      </w:pPr>
    </w:p>
    <w:p w14:paraId="588EA024" w14:textId="77777777" w:rsidR="00AE5B2E" w:rsidRPr="008D6AC4" w:rsidRDefault="213FE2C8" w:rsidP="008219F3">
      <w:pPr>
        <w:jc w:val="both"/>
        <w:rPr>
          <w:rFonts w:ascii="Verdana" w:hAnsi="Verdana"/>
          <w:sz w:val="22"/>
          <w:szCs w:val="22"/>
        </w:rPr>
      </w:pPr>
      <w:r w:rsidRPr="008D6AC4">
        <w:rPr>
          <w:rFonts w:ascii="Verdana" w:hAnsi="Verdana"/>
          <w:sz w:val="22"/>
          <w:szCs w:val="22"/>
        </w:rPr>
        <w:t xml:space="preserve">To fully assess the current sexual health needs in Kent, it is important to first reflect. </w:t>
      </w:r>
      <w:r w:rsidR="1A29A6FA" w:rsidRPr="008D6AC4">
        <w:rPr>
          <w:rFonts w:ascii="Verdana" w:hAnsi="Verdana"/>
          <w:sz w:val="22"/>
          <w:szCs w:val="22"/>
        </w:rPr>
        <w:t>Since the last sexual health needs assessment</w:t>
      </w:r>
      <w:r w:rsidR="6F2F07FC" w:rsidRPr="008D6AC4">
        <w:rPr>
          <w:rFonts w:ascii="Verdana" w:hAnsi="Verdana"/>
          <w:sz w:val="22"/>
          <w:szCs w:val="22"/>
        </w:rPr>
        <w:t xml:space="preserve"> (SHNA)</w:t>
      </w:r>
      <w:r w:rsidR="1A29A6FA" w:rsidRPr="008D6AC4">
        <w:rPr>
          <w:rFonts w:ascii="Verdana" w:hAnsi="Verdana"/>
          <w:sz w:val="22"/>
          <w:szCs w:val="22"/>
        </w:rPr>
        <w:t xml:space="preserve"> in 2018, the sexual health landscape has changed considerably, with the impact of the COVID-19 pandemic, growing funding gaps for sexual health services and changing social trends. Data has also changed to suggest that a re-focus of efforts on sexual health is needed. There have also been several national policies introduced and changes in guidance that affect sexual health. This has been summarised below.</w:t>
      </w:r>
    </w:p>
    <w:p w14:paraId="72A26B81" w14:textId="77777777" w:rsidR="1DB62E42" w:rsidRPr="008D6AC4" w:rsidRDefault="1DB62E42" w:rsidP="1DB62E42">
      <w:pPr>
        <w:jc w:val="both"/>
        <w:rPr>
          <w:rFonts w:ascii="Verdana" w:hAnsi="Verdana"/>
          <w:sz w:val="22"/>
          <w:szCs w:val="22"/>
        </w:rPr>
      </w:pPr>
    </w:p>
    <w:p w14:paraId="5C031951" w14:textId="77777777" w:rsidR="00630AB0" w:rsidRPr="008D6AC4" w:rsidRDefault="0A405C08" w:rsidP="136F3BEB">
      <w:pPr>
        <w:pStyle w:val="Heading2"/>
        <w:numPr>
          <w:ilvl w:val="0"/>
          <w:numId w:val="0"/>
        </w:numPr>
        <w:rPr>
          <w:rFonts w:ascii="Verdana" w:eastAsiaTheme="minorEastAsia" w:hAnsi="Verdana"/>
          <w:sz w:val="24"/>
          <w:szCs w:val="24"/>
        </w:rPr>
      </w:pPr>
      <w:bookmarkStart w:id="2" w:name="_Toc523101983"/>
      <w:r w:rsidRPr="136F3BEB">
        <w:rPr>
          <w:rFonts w:ascii="Verdana" w:eastAsiaTheme="minorEastAsia" w:hAnsi="Verdana"/>
          <w:sz w:val="24"/>
          <w:szCs w:val="24"/>
        </w:rPr>
        <w:t xml:space="preserve">2.1 </w:t>
      </w:r>
      <w:r w:rsidR="65B6788B" w:rsidRPr="136F3BEB">
        <w:rPr>
          <w:rFonts w:ascii="Verdana" w:eastAsiaTheme="minorEastAsia" w:hAnsi="Verdana"/>
          <w:sz w:val="24"/>
          <w:szCs w:val="24"/>
        </w:rPr>
        <w:t>National Context</w:t>
      </w:r>
      <w:bookmarkEnd w:id="2"/>
    </w:p>
    <w:p w14:paraId="7DEF102A" w14:textId="77777777" w:rsidR="00630AB0" w:rsidRPr="0089791B" w:rsidRDefault="659CA019" w:rsidP="49636075">
      <w:pPr>
        <w:jc w:val="both"/>
        <w:rPr>
          <w:rFonts w:ascii="Verdana" w:eastAsiaTheme="majorEastAsia" w:hAnsi="Verdana" w:cstheme="minorBidi"/>
          <w:b/>
          <w:color w:val="2D7C82"/>
          <w:sz w:val="22"/>
          <w:szCs w:val="22"/>
        </w:rPr>
      </w:pPr>
      <w:r w:rsidRPr="0089791B">
        <w:rPr>
          <w:rFonts w:ascii="Verdana" w:eastAsiaTheme="majorEastAsia" w:hAnsi="Verdana" w:cstheme="minorBidi"/>
          <w:b/>
          <w:color w:val="2D7C82"/>
          <w:sz w:val="22"/>
          <w:szCs w:val="22"/>
        </w:rPr>
        <w:t xml:space="preserve">2.1.1 </w:t>
      </w:r>
      <w:r w:rsidR="43E73106" w:rsidRPr="0089791B">
        <w:rPr>
          <w:rFonts w:ascii="Verdana" w:eastAsiaTheme="majorEastAsia" w:hAnsi="Verdana" w:cstheme="minorBidi"/>
          <w:b/>
          <w:color w:val="2D7C82"/>
          <w:sz w:val="22"/>
          <w:szCs w:val="22"/>
        </w:rPr>
        <w:t>The impact of the COVID-19 pandemic on the sexual health landscape</w:t>
      </w:r>
    </w:p>
    <w:p w14:paraId="574C0FFF" w14:textId="77777777" w:rsidR="00630AB0" w:rsidRPr="008D6AC4" w:rsidRDefault="00630AB0" w:rsidP="00630AB0">
      <w:pPr>
        <w:jc w:val="both"/>
        <w:rPr>
          <w:rFonts w:ascii="Verdana" w:hAnsi="Verdana"/>
          <w:sz w:val="22"/>
          <w:szCs w:val="22"/>
        </w:rPr>
      </w:pPr>
      <w:r w:rsidRPr="008D6AC4">
        <w:rPr>
          <w:rFonts w:ascii="Verdana" w:hAnsi="Verdana"/>
          <w:sz w:val="22"/>
          <w:szCs w:val="22"/>
        </w:rPr>
        <w:lastRenderedPageBreak/>
        <w:t xml:space="preserve">The COVID-19 pandemic had a significant impact on both the delivery of sexual health services, and the sexual health attitudes and behaviours of the UK population. </w:t>
      </w:r>
    </w:p>
    <w:p w14:paraId="1C0E837A" w14:textId="77777777" w:rsidR="00630AB0" w:rsidRPr="008D6AC4" w:rsidRDefault="3FF834EE" w:rsidP="00630AB0">
      <w:pPr>
        <w:jc w:val="both"/>
        <w:rPr>
          <w:rFonts w:ascii="Verdana" w:hAnsi="Verdana"/>
          <w:sz w:val="22"/>
          <w:szCs w:val="22"/>
        </w:rPr>
      </w:pPr>
      <w:r w:rsidRPr="008D6AC4">
        <w:rPr>
          <w:rFonts w:ascii="Verdana" w:hAnsi="Verdana"/>
          <w:sz w:val="22"/>
          <w:szCs w:val="22"/>
        </w:rPr>
        <w:t>The Faculty of Sexual &amp; Reproductive Health (FSRH) surveyed its members in May 2020 to understand service issues during the pandemic. They found that 77% of GPs and 64% of specialists had ended or limited the provision of essential sexual health services since the pandemic began</w:t>
      </w:r>
      <w:r w:rsidR="00630AB0" w:rsidRPr="008D6AC4">
        <w:rPr>
          <w:rStyle w:val="FootnoteReference"/>
          <w:rFonts w:ascii="Verdana" w:hAnsi="Verdana"/>
          <w:sz w:val="22"/>
          <w:szCs w:val="22"/>
        </w:rPr>
        <w:footnoteReference w:id="5"/>
      </w:r>
      <w:r w:rsidRPr="008D6AC4">
        <w:rPr>
          <w:rFonts w:ascii="Verdana" w:hAnsi="Verdana"/>
          <w:sz w:val="22"/>
          <w:szCs w:val="22"/>
        </w:rPr>
        <w:t>.</w:t>
      </w:r>
    </w:p>
    <w:p w14:paraId="73D6B0FD" w14:textId="77777777" w:rsidR="00630AB0" w:rsidRPr="008D6AC4" w:rsidRDefault="3FF834EE" w:rsidP="00630AB0">
      <w:pPr>
        <w:jc w:val="both"/>
        <w:rPr>
          <w:rFonts w:ascii="Verdana" w:hAnsi="Verdana"/>
          <w:sz w:val="22"/>
          <w:szCs w:val="22"/>
        </w:rPr>
      </w:pPr>
      <w:r w:rsidRPr="008D6AC4">
        <w:rPr>
          <w:rFonts w:ascii="Verdana" w:hAnsi="Verdana"/>
          <w:sz w:val="22"/>
          <w:szCs w:val="22"/>
        </w:rPr>
        <w:t>There were changes to service delivery with a shift to remote consultations and the use of home self-sampling kits for STI testing. Whilst this allowed some ongoing provision of services during lockdowns, there were concerns that changes to service delivery could worsen health inequalities for groups who would have difficulty accessing the service in this way</w:t>
      </w:r>
      <w:r w:rsidR="00630AB0" w:rsidRPr="008D6AC4">
        <w:rPr>
          <w:rStyle w:val="FootnoteReference"/>
          <w:rFonts w:ascii="Verdana" w:hAnsi="Verdana"/>
          <w:sz w:val="22"/>
          <w:szCs w:val="22"/>
        </w:rPr>
        <w:footnoteReference w:id="6"/>
      </w:r>
      <w:r w:rsidRPr="008D6AC4">
        <w:rPr>
          <w:rFonts w:ascii="Verdana" w:hAnsi="Verdana"/>
          <w:sz w:val="22"/>
          <w:szCs w:val="22"/>
        </w:rPr>
        <w:t>. Inequalities in access to STI testing was observed for people living with HIV and minority ethnic participants in a cross-sectional survey completed in July 2020</w:t>
      </w:r>
      <w:r w:rsidR="00630AB0" w:rsidRPr="008D6AC4">
        <w:rPr>
          <w:rStyle w:val="FootnoteReference"/>
          <w:rFonts w:ascii="Verdana" w:hAnsi="Verdana"/>
          <w:sz w:val="22"/>
          <w:szCs w:val="22"/>
        </w:rPr>
        <w:footnoteReference w:id="7"/>
      </w:r>
      <w:r w:rsidRPr="008D6AC4">
        <w:rPr>
          <w:rFonts w:ascii="Verdana" w:hAnsi="Verdana"/>
          <w:sz w:val="22"/>
          <w:szCs w:val="22"/>
        </w:rPr>
        <w:t>. Unmet need for condoms was also reported in 2021, with higher unmet need for young men aged 18</w:t>
      </w:r>
      <w:r w:rsidR="213146EE" w:rsidRPr="008D6AC4">
        <w:rPr>
          <w:rFonts w:ascii="Verdana" w:hAnsi="Verdana"/>
          <w:sz w:val="22"/>
          <w:szCs w:val="22"/>
        </w:rPr>
        <w:t xml:space="preserve"> to </w:t>
      </w:r>
      <w:r w:rsidRPr="008D6AC4">
        <w:rPr>
          <w:rFonts w:ascii="Verdana" w:hAnsi="Verdana"/>
          <w:sz w:val="22"/>
          <w:szCs w:val="22"/>
        </w:rPr>
        <w:t>24 years, and men who have sex with men (MSM). Those who reported unmet need were also more likely to report sexual behaviours associated with STI and HIV risk</w:t>
      </w:r>
      <w:r w:rsidR="00630AB0" w:rsidRPr="008D6AC4">
        <w:rPr>
          <w:rStyle w:val="FootnoteReference"/>
          <w:rFonts w:ascii="Verdana" w:hAnsi="Verdana"/>
          <w:sz w:val="22"/>
          <w:szCs w:val="22"/>
        </w:rPr>
        <w:footnoteReference w:id="8"/>
      </w:r>
      <w:r w:rsidRPr="008D6AC4">
        <w:rPr>
          <w:rFonts w:ascii="Verdana" w:hAnsi="Verdana"/>
          <w:sz w:val="22"/>
          <w:szCs w:val="22"/>
        </w:rPr>
        <w:t>, highlighting the impact of the pandemic on availability of primary prevention methods.</w:t>
      </w:r>
    </w:p>
    <w:p w14:paraId="0E50D9AB" w14:textId="77777777" w:rsidR="00630AB0" w:rsidRPr="008D6AC4" w:rsidRDefault="532C6B5B" w:rsidP="00630AB0">
      <w:pPr>
        <w:jc w:val="both"/>
        <w:rPr>
          <w:rFonts w:ascii="Verdana" w:hAnsi="Verdana"/>
          <w:sz w:val="22"/>
          <w:szCs w:val="22"/>
        </w:rPr>
      </w:pPr>
      <w:r w:rsidRPr="008D6AC4">
        <w:rPr>
          <w:rFonts w:ascii="Verdana" w:hAnsi="Verdana"/>
          <w:sz w:val="22"/>
          <w:szCs w:val="22"/>
        </w:rPr>
        <w:t>The National Surveys of Sexual Attitudes and Lifestyles (N</w:t>
      </w:r>
      <w:r w:rsidR="07729889" w:rsidRPr="008D6AC4">
        <w:rPr>
          <w:rFonts w:ascii="Verdana" w:hAnsi="Verdana"/>
          <w:sz w:val="22"/>
          <w:szCs w:val="22"/>
        </w:rPr>
        <w:t>ATSAL</w:t>
      </w:r>
      <w:r w:rsidRPr="008D6AC4">
        <w:rPr>
          <w:rFonts w:ascii="Verdana" w:hAnsi="Verdana"/>
          <w:sz w:val="22"/>
          <w:szCs w:val="22"/>
        </w:rPr>
        <w:t>) team conducted a study in 2020/21 to understand how the national lockdowns impacted sexual health and to understand the longer-term impacts of the pandemic</w:t>
      </w:r>
      <w:r w:rsidR="00630AB0" w:rsidRPr="008D6AC4">
        <w:rPr>
          <w:rStyle w:val="FootnoteReference"/>
          <w:rFonts w:ascii="Verdana" w:hAnsi="Verdana"/>
          <w:sz w:val="22"/>
          <w:szCs w:val="22"/>
        </w:rPr>
        <w:footnoteReference w:id="9"/>
      </w:r>
      <w:r w:rsidRPr="008D6AC4">
        <w:rPr>
          <w:rFonts w:ascii="Verdana" w:hAnsi="Verdana"/>
          <w:sz w:val="22"/>
          <w:szCs w:val="22"/>
        </w:rPr>
        <w:t xml:space="preserve">. </w:t>
      </w:r>
    </w:p>
    <w:p w14:paraId="4EBB1D0F" w14:textId="77777777" w:rsidR="00630AB0" w:rsidRPr="008D6AC4" w:rsidRDefault="6EDEFC8C" w:rsidP="4A0F6D8A">
      <w:pPr>
        <w:jc w:val="both"/>
        <w:rPr>
          <w:rFonts w:ascii="Verdana" w:hAnsi="Verdana"/>
          <w:sz w:val="22"/>
          <w:szCs w:val="22"/>
        </w:rPr>
      </w:pPr>
      <w:r w:rsidRPr="008D6AC4">
        <w:rPr>
          <w:rFonts w:ascii="Verdana" w:hAnsi="Verdana"/>
          <w:sz w:val="22"/>
          <w:szCs w:val="22"/>
        </w:rPr>
        <w:t>The impact on contraceptive services was reflected in the findings that one in six participants reported an unmet need when attempting to access services. Younger participants in particular were affected, with them more likely to report barriers to access and to have switched method of contraception during the pandemic</w:t>
      </w:r>
      <w:r w:rsidR="00630AB0" w:rsidRPr="008D6AC4">
        <w:rPr>
          <w:rStyle w:val="FootnoteReference"/>
          <w:rFonts w:ascii="Verdana" w:hAnsi="Verdana"/>
          <w:sz w:val="22"/>
          <w:szCs w:val="22"/>
        </w:rPr>
        <w:footnoteReference w:id="10"/>
      </w:r>
      <w:r w:rsidRPr="008D6AC4">
        <w:rPr>
          <w:rFonts w:ascii="Verdana" w:hAnsi="Verdana"/>
          <w:sz w:val="22"/>
          <w:szCs w:val="22"/>
        </w:rPr>
        <w:t xml:space="preserve">. The study found mixed views on use of telemedicine within sexual healthcare, where some participants found it acceptable, but others reported difficulty navigating the changing services with concerns around privacy within </w:t>
      </w:r>
      <w:r w:rsidRPr="008D6AC4">
        <w:rPr>
          <w:rFonts w:ascii="Verdana" w:hAnsi="Verdana"/>
          <w:sz w:val="22"/>
          <w:szCs w:val="22"/>
        </w:rPr>
        <w:lastRenderedPageBreak/>
        <w:t>their household or community</w:t>
      </w:r>
      <w:r w:rsidR="00630AB0" w:rsidRPr="008D6AC4">
        <w:rPr>
          <w:rStyle w:val="FootnoteReference"/>
          <w:rFonts w:ascii="Verdana" w:hAnsi="Verdana"/>
          <w:sz w:val="22"/>
          <w:szCs w:val="22"/>
        </w:rPr>
        <w:footnoteReference w:id="11"/>
      </w:r>
      <w:r w:rsidRPr="008D6AC4">
        <w:rPr>
          <w:rFonts w:ascii="Verdana" w:hAnsi="Verdana"/>
          <w:sz w:val="22"/>
          <w:szCs w:val="22"/>
        </w:rPr>
        <w:t>.</w:t>
      </w:r>
      <w:r w:rsidR="362FF3C2" w:rsidRPr="008D6AC4">
        <w:rPr>
          <w:rFonts w:ascii="Verdana" w:hAnsi="Verdana"/>
          <w:sz w:val="22"/>
          <w:szCs w:val="22"/>
        </w:rPr>
        <w:t xml:space="preserve"> </w:t>
      </w:r>
      <w:r w:rsidR="362FF3C2" w:rsidRPr="008D6AC4">
        <w:rPr>
          <w:rFonts w:ascii="Verdana" w:eastAsia="Verdana" w:hAnsi="Verdana" w:cs="Verdana"/>
          <w:sz w:val="22"/>
          <w:szCs w:val="22"/>
        </w:rPr>
        <w:t>Further insights about the impact of COVID-19 on sexual health attitudes and behaviours are discussed in Section 5.2.</w:t>
      </w:r>
    </w:p>
    <w:p w14:paraId="7B569B2B" w14:textId="77777777" w:rsidR="00630AB0" w:rsidRPr="008D6AC4" w:rsidRDefault="3FF834EE" w:rsidP="00630AB0">
      <w:pPr>
        <w:jc w:val="both"/>
        <w:rPr>
          <w:rFonts w:ascii="Verdana" w:hAnsi="Verdana"/>
          <w:sz w:val="22"/>
          <w:szCs w:val="22"/>
        </w:rPr>
      </w:pPr>
      <w:r w:rsidRPr="008D6AC4">
        <w:rPr>
          <w:rFonts w:ascii="Verdana" w:hAnsi="Verdana"/>
          <w:sz w:val="22"/>
          <w:szCs w:val="22"/>
        </w:rPr>
        <w:t>Incidence of sexually transmitted infections have risen alongside other indicators of changing sexual health provision such as termination of pregnancy rates increasing</w:t>
      </w:r>
      <w:r w:rsidR="00630AB0" w:rsidRPr="008D6AC4">
        <w:rPr>
          <w:rStyle w:val="FootnoteReference"/>
          <w:rFonts w:ascii="Verdana" w:hAnsi="Verdana"/>
          <w:sz w:val="22"/>
          <w:szCs w:val="22"/>
        </w:rPr>
        <w:footnoteReference w:id="12"/>
      </w:r>
      <w:r w:rsidRPr="008D6AC4">
        <w:rPr>
          <w:rFonts w:ascii="Verdana" w:hAnsi="Verdana"/>
          <w:sz w:val="22"/>
          <w:szCs w:val="22"/>
        </w:rPr>
        <w:t>. This has resulted in calls for the new Government to prioritise and focus on sexual health and sexual health inequalities through a national sexual health strategy</w:t>
      </w:r>
      <w:r w:rsidR="00630AB0" w:rsidRPr="008D6AC4">
        <w:rPr>
          <w:rStyle w:val="FootnoteReference"/>
          <w:rFonts w:ascii="Verdana" w:hAnsi="Verdana"/>
          <w:sz w:val="22"/>
          <w:szCs w:val="22"/>
        </w:rPr>
        <w:footnoteReference w:id="13"/>
      </w:r>
      <w:r w:rsidRPr="008D6AC4">
        <w:rPr>
          <w:rFonts w:ascii="Verdana" w:hAnsi="Verdana"/>
          <w:sz w:val="22"/>
          <w:szCs w:val="22"/>
        </w:rPr>
        <w:t xml:space="preserve">. </w:t>
      </w:r>
    </w:p>
    <w:p w14:paraId="448BAED7" w14:textId="77777777" w:rsidR="00630AB0" w:rsidRPr="008D6AC4" w:rsidRDefault="183C864B" w:rsidP="136F3BEB">
      <w:pPr>
        <w:pStyle w:val="Heading2"/>
        <w:numPr>
          <w:ilvl w:val="0"/>
          <w:numId w:val="0"/>
        </w:numPr>
        <w:rPr>
          <w:rFonts w:ascii="Verdana" w:eastAsiaTheme="minorEastAsia" w:hAnsi="Verdana"/>
          <w:sz w:val="22"/>
          <w:szCs w:val="22"/>
        </w:rPr>
      </w:pPr>
      <w:bookmarkStart w:id="3" w:name="_Toc1355041258"/>
      <w:r w:rsidRPr="136F3BEB">
        <w:rPr>
          <w:rFonts w:ascii="Verdana" w:eastAsiaTheme="minorEastAsia" w:hAnsi="Verdana"/>
          <w:sz w:val="22"/>
          <w:szCs w:val="22"/>
        </w:rPr>
        <w:t xml:space="preserve">2.1.2 </w:t>
      </w:r>
      <w:r w:rsidR="65B6788B" w:rsidRPr="136F3BEB">
        <w:rPr>
          <w:rFonts w:ascii="Verdana" w:eastAsiaTheme="minorEastAsia" w:hAnsi="Verdana"/>
          <w:sz w:val="22"/>
          <w:szCs w:val="22"/>
        </w:rPr>
        <w:t>Social trends and changes in sexual health attitudes and behaviours</w:t>
      </w:r>
      <w:bookmarkEnd w:id="3"/>
    </w:p>
    <w:p w14:paraId="3DBF4F70" w14:textId="77777777" w:rsidR="00630AB0" w:rsidRPr="008D6AC4" w:rsidRDefault="3FF834EE" w:rsidP="00630AB0">
      <w:pPr>
        <w:jc w:val="both"/>
        <w:rPr>
          <w:rFonts w:ascii="Verdana" w:hAnsi="Verdana"/>
          <w:sz w:val="22"/>
          <w:szCs w:val="22"/>
        </w:rPr>
      </w:pPr>
      <w:r w:rsidRPr="008D6AC4">
        <w:rPr>
          <w:rFonts w:ascii="Verdana" w:hAnsi="Verdana"/>
          <w:sz w:val="22"/>
          <w:szCs w:val="22"/>
        </w:rPr>
        <w:t xml:space="preserve">The sexual practice of ‘chemsex’ </w:t>
      </w:r>
      <w:r w:rsidRPr="008D6AC4">
        <w:rPr>
          <w:rFonts w:ascii="Verdana" w:eastAsia="Verdana" w:hAnsi="Verdana" w:cs="Verdana"/>
          <w:sz w:val="22"/>
          <w:szCs w:val="22"/>
        </w:rPr>
        <w:t>(</w:t>
      </w:r>
      <w:r w:rsidR="3A09476A" w:rsidRPr="008D6AC4">
        <w:rPr>
          <w:rFonts w:ascii="Verdana" w:eastAsia="Verdana" w:hAnsi="Verdana" w:cs="Verdana"/>
          <w:color w:val="333333"/>
          <w:sz w:val="22"/>
          <w:szCs w:val="22"/>
        </w:rPr>
        <w:t>referring to the use of drugs in sexualised settings or during sex, most often</w:t>
      </w:r>
      <w:r w:rsidR="0ED0BD51" w:rsidRPr="008D6AC4">
        <w:rPr>
          <w:rFonts w:ascii="Verdana" w:eastAsia="Verdana" w:hAnsi="Verdana" w:cs="Verdana"/>
          <w:color w:val="333333"/>
          <w:sz w:val="22"/>
          <w:szCs w:val="22"/>
        </w:rPr>
        <w:t xml:space="preserve"> in</w:t>
      </w:r>
      <w:r w:rsidR="3A09476A" w:rsidRPr="008D6AC4">
        <w:rPr>
          <w:rFonts w:ascii="Verdana" w:eastAsia="Verdana" w:hAnsi="Verdana" w:cs="Verdana"/>
          <w:color w:val="333333"/>
          <w:sz w:val="22"/>
          <w:szCs w:val="22"/>
        </w:rPr>
        <w:t xml:space="preserve"> </w:t>
      </w:r>
      <w:r w:rsidR="1956A948" w:rsidRPr="008D6AC4">
        <w:rPr>
          <w:rFonts w:ascii="Verdana" w:eastAsia="Verdana" w:hAnsi="Verdana" w:cs="Verdana"/>
          <w:color w:val="333333"/>
          <w:sz w:val="22"/>
          <w:szCs w:val="22"/>
        </w:rPr>
        <w:t xml:space="preserve">but not limited to </w:t>
      </w:r>
      <w:r w:rsidRPr="008D6AC4">
        <w:rPr>
          <w:rFonts w:ascii="Verdana" w:eastAsia="Verdana" w:hAnsi="Verdana" w:cs="Verdana"/>
          <w:color w:val="333333"/>
          <w:sz w:val="22"/>
          <w:szCs w:val="22"/>
        </w:rPr>
        <w:t>gay and bisexual men</w:t>
      </w:r>
      <w:r w:rsidR="3A09476A" w:rsidRPr="008D6AC4">
        <w:rPr>
          <w:rFonts w:ascii="Verdana" w:eastAsia="Verdana" w:hAnsi="Verdana" w:cs="Verdana"/>
          <w:color w:val="333333"/>
          <w:sz w:val="22"/>
          <w:szCs w:val="22"/>
        </w:rPr>
        <w:t>)</w:t>
      </w:r>
      <w:r w:rsidRPr="008D6AC4">
        <w:rPr>
          <w:rFonts w:ascii="Verdana" w:eastAsia="Verdana" w:hAnsi="Verdana" w:cs="Verdana"/>
          <w:sz w:val="22"/>
          <w:szCs w:val="22"/>
        </w:rPr>
        <w:t xml:space="preserve"> </w:t>
      </w:r>
      <w:r w:rsidRPr="008D6AC4">
        <w:rPr>
          <w:rStyle w:val="FootnoteReference"/>
          <w:rFonts w:ascii="Verdana" w:hAnsi="Verdana"/>
          <w:sz w:val="22"/>
          <w:szCs w:val="22"/>
        </w:rPr>
        <w:t>35</w:t>
      </w:r>
      <w:r w:rsidRPr="008D6AC4">
        <w:rPr>
          <w:rStyle w:val="CommentReference"/>
          <w:rFonts w:ascii="Verdana" w:hAnsi="Verdana"/>
          <w:sz w:val="22"/>
          <w:szCs w:val="22"/>
        </w:rPr>
        <w:t xml:space="preserve">, </w:t>
      </w:r>
      <w:r w:rsidRPr="008D6AC4">
        <w:rPr>
          <w:rFonts w:ascii="Verdana" w:hAnsi="Verdana"/>
          <w:sz w:val="22"/>
          <w:szCs w:val="22"/>
        </w:rPr>
        <w:t>with use particularly by men who have sex with men (MSM). Whilst evidence</w:t>
      </w:r>
      <w:r w:rsidR="00630AB0" w:rsidRPr="008D6AC4">
        <w:rPr>
          <w:rStyle w:val="FootnoteReference"/>
          <w:rFonts w:ascii="Verdana" w:hAnsi="Verdana"/>
          <w:sz w:val="22"/>
          <w:szCs w:val="22"/>
        </w:rPr>
        <w:footnoteReference w:id="14"/>
      </w:r>
      <w:r w:rsidRPr="008D6AC4">
        <w:rPr>
          <w:rFonts w:ascii="Verdana" w:hAnsi="Verdana"/>
          <w:sz w:val="22"/>
          <w:szCs w:val="22"/>
        </w:rPr>
        <w:t xml:space="preserve"> suggests a decline in use between 2015 and 2018, chemsex remains an issue for sexual health, given the increased risk of STIs in this context, and the resulting increased attendance at sexual health clinics. Further understanding of chemsex locally is important to understand where sexual health services may be increasingly required.</w:t>
      </w:r>
    </w:p>
    <w:p w14:paraId="6F5753A7" w14:textId="77777777" w:rsidR="00630AB0" w:rsidRPr="008D6AC4" w:rsidRDefault="3FF834EE" w:rsidP="00630AB0">
      <w:pPr>
        <w:jc w:val="both"/>
        <w:rPr>
          <w:rFonts w:ascii="Verdana" w:hAnsi="Verdana"/>
          <w:sz w:val="22"/>
          <w:szCs w:val="22"/>
        </w:rPr>
      </w:pPr>
      <w:r w:rsidRPr="008D6AC4">
        <w:rPr>
          <w:rFonts w:ascii="Verdana" w:hAnsi="Verdana"/>
          <w:sz w:val="22"/>
          <w:szCs w:val="22"/>
        </w:rPr>
        <w:t>Rising numbers of over-65s with STIs have been reported</w:t>
      </w:r>
      <w:r w:rsidR="00630AB0" w:rsidRPr="008D6AC4">
        <w:rPr>
          <w:rStyle w:val="FootnoteReference"/>
          <w:rFonts w:ascii="Verdana" w:hAnsi="Verdana"/>
          <w:sz w:val="22"/>
          <w:szCs w:val="22"/>
        </w:rPr>
        <w:footnoteReference w:id="15"/>
      </w:r>
      <w:r w:rsidRPr="008D6AC4">
        <w:rPr>
          <w:rFonts w:ascii="Verdana" w:hAnsi="Verdana"/>
          <w:sz w:val="22"/>
          <w:szCs w:val="22"/>
        </w:rPr>
        <w:t>, and this will be of increasing importance to public health, given the UK’s ageing population</w:t>
      </w:r>
      <w:r w:rsidR="00630AB0" w:rsidRPr="008D6AC4">
        <w:rPr>
          <w:rStyle w:val="FootnoteReference"/>
          <w:rFonts w:ascii="Verdana" w:hAnsi="Verdana"/>
          <w:sz w:val="22"/>
          <w:szCs w:val="22"/>
        </w:rPr>
        <w:footnoteReference w:id="16"/>
      </w:r>
      <w:r w:rsidRPr="008D6AC4">
        <w:rPr>
          <w:rFonts w:ascii="Verdana" w:hAnsi="Verdana"/>
          <w:sz w:val="22"/>
          <w:szCs w:val="22"/>
        </w:rPr>
        <w:t>.</w:t>
      </w:r>
    </w:p>
    <w:p w14:paraId="043110F4" w14:textId="77777777" w:rsidR="00630AB0" w:rsidRPr="008D6AC4" w:rsidRDefault="532C6B5B" w:rsidP="00630AB0">
      <w:pPr>
        <w:jc w:val="both"/>
        <w:rPr>
          <w:rFonts w:ascii="Verdana" w:hAnsi="Verdana"/>
          <w:sz w:val="22"/>
          <w:szCs w:val="22"/>
        </w:rPr>
      </w:pPr>
      <w:r w:rsidRPr="008D6AC4">
        <w:rPr>
          <w:rFonts w:ascii="Verdana" w:hAnsi="Verdana"/>
          <w:sz w:val="22"/>
          <w:szCs w:val="22"/>
        </w:rPr>
        <w:t>In the last decade, dating apps have become more popular, with some research showing a link between the use of these and risky sexual behaviours and STIs</w:t>
      </w:r>
      <w:r w:rsidR="00630AB0" w:rsidRPr="008D6AC4">
        <w:rPr>
          <w:rStyle w:val="FootnoteReference"/>
          <w:rFonts w:ascii="Verdana" w:hAnsi="Verdana"/>
          <w:sz w:val="22"/>
          <w:szCs w:val="22"/>
        </w:rPr>
        <w:footnoteReference w:id="17"/>
      </w:r>
      <w:r w:rsidR="4CA3231D" w:rsidRPr="008D6AC4">
        <w:rPr>
          <w:rFonts w:ascii="Verdana" w:hAnsi="Verdana"/>
          <w:sz w:val="22"/>
          <w:szCs w:val="22"/>
          <w:vertAlign w:val="superscript"/>
        </w:rPr>
        <w:t>,</w:t>
      </w:r>
      <w:r w:rsidR="00630AB0" w:rsidRPr="008D6AC4">
        <w:rPr>
          <w:rStyle w:val="FootnoteReference"/>
          <w:rFonts w:ascii="Verdana" w:hAnsi="Verdana"/>
          <w:sz w:val="22"/>
          <w:szCs w:val="22"/>
        </w:rPr>
        <w:footnoteReference w:id="18"/>
      </w:r>
      <w:r w:rsidRPr="008D6AC4">
        <w:rPr>
          <w:rFonts w:ascii="Verdana" w:hAnsi="Verdana"/>
          <w:sz w:val="22"/>
          <w:szCs w:val="22"/>
        </w:rPr>
        <w:t>.</w:t>
      </w:r>
      <w:r w:rsidR="4CA3231D" w:rsidRPr="008D6AC4">
        <w:rPr>
          <w:rFonts w:ascii="Verdana" w:hAnsi="Verdana"/>
          <w:sz w:val="22"/>
          <w:szCs w:val="22"/>
        </w:rPr>
        <w:t xml:space="preserve"> </w:t>
      </w:r>
      <w:r w:rsidRPr="008D6AC4">
        <w:rPr>
          <w:rFonts w:ascii="Verdana" w:hAnsi="Verdana"/>
          <w:sz w:val="22"/>
          <w:szCs w:val="22"/>
        </w:rPr>
        <w:t xml:space="preserve">This is especially important, given that most </w:t>
      </w:r>
      <w:r w:rsidR="41D94823" w:rsidRPr="008D6AC4">
        <w:rPr>
          <w:rFonts w:ascii="Verdana" w:hAnsi="Verdana"/>
          <w:sz w:val="22"/>
          <w:szCs w:val="22"/>
        </w:rPr>
        <w:t>15- to 24-year-olds</w:t>
      </w:r>
      <w:r w:rsidRPr="008D6AC4">
        <w:rPr>
          <w:rFonts w:ascii="Verdana" w:hAnsi="Verdana"/>
          <w:sz w:val="22"/>
          <w:szCs w:val="22"/>
        </w:rPr>
        <w:t xml:space="preserve"> own a smartphone and therefore can easily access these apps</w:t>
      </w:r>
      <w:r w:rsidR="00630AB0" w:rsidRPr="008D6AC4">
        <w:rPr>
          <w:rStyle w:val="FootnoteReference"/>
          <w:rFonts w:ascii="Verdana" w:hAnsi="Verdana"/>
          <w:sz w:val="22"/>
          <w:szCs w:val="22"/>
        </w:rPr>
        <w:footnoteReference w:id="19"/>
      </w:r>
      <w:r w:rsidRPr="008D6AC4">
        <w:rPr>
          <w:rFonts w:ascii="Verdana" w:hAnsi="Verdana"/>
          <w:sz w:val="22"/>
          <w:szCs w:val="22"/>
        </w:rPr>
        <w:t>.</w:t>
      </w:r>
    </w:p>
    <w:p w14:paraId="696407AD" w14:textId="77777777" w:rsidR="00630AB0" w:rsidRPr="008D6AC4" w:rsidRDefault="3FF834EE" w:rsidP="00630AB0">
      <w:pPr>
        <w:jc w:val="both"/>
        <w:rPr>
          <w:rFonts w:ascii="Verdana" w:hAnsi="Verdana"/>
          <w:sz w:val="22"/>
          <w:szCs w:val="22"/>
        </w:rPr>
      </w:pPr>
      <w:r w:rsidRPr="008D6AC4">
        <w:rPr>
          <w:rFonts w:ascii="Verdana" w:hAnsi="Verdana"/>
          <w:sz w:val="22"/>
          <w:szCs w:val="22"/>
        </w:rPr>
        <w:t>There has been increasing popularity of digital technologies used by women, termed as ‘</w:t>
      </w:r>
      <w:proofErr w:type="spellStart"/>
      <w:r w:rsidRPr="008D6AC4">
        <w:rPr>
          <w:rFonts w:ascii="Verdana" w:hAnsi="Verdana"/>
          <w:sz w:val="22"/>
          <w:szCs w:val="22"/>
        </w:rPr>
        <w:t>FemTech</w:t>
      </w:r>
      <w:proofErr w:type="spellEnd"/>
      <w:r w:rsidRPr="008D6AC4">
        <w:rPr>
          <w:rFonts w:ascii="Verdana" w:hAnsi="Verdana"/>
          <w:sz w:val="22"/>
          <w:szCs w:val="22"/>
        </w:rPr>
        <w:t>’, for example period-tracking apps and fertility solutions</w:t>
      </w:r>
      <w:r w:rsidR="00630AB0" w:rsidRPr="008D6AC4">
        <w:rPr>
          <w:rStyle w:val="FootnoteReference"/>
          <w:rFonts w:ascii="Verdana" w:hAnsi="Verdana"/>
          <w:sz w:val="22"/>
          <w:szCs w:val="22"/>
        </w:rPr>
        <w:footnoteReference w:id="20"/>
      </w:r>
      <w:r w:rsidRPr="008D6AC4">
        <w:rPr>
          <w:rFonts w:ascii="Verdana" w:hAnsi="Verdana"/>
          <w:sz w:val="22"/>
          <w:szCs w:val="22"/>
        </w:rPr>
        <w:t xml:space="preserve">. This may provide an opportunity for innovative public health interventions and to </w:t>
      </w:r>
      <w:r w:rsidRPr="008D6AC4">
        <w:rPr>
          <w:rFonts w:ascii="Verdana" w:hAnsi="Verdana"/>
          <w:sz w:val="22"/>
          <w:szCs w:val="22"/>
        </w:rPr>
        <w:lastRenderedPageBreak/>
        <w:t>help reach a wider audience. However, concerns have also been documented about the regulation of these apps and the risk of increasing unplanned pregnancies</w:t>
      </w:r>
      <w:r w:rsidR="00630AB0" w:rsidRPr="008D6AC4">
        <w:rPr>
          <w:rStyle w:val="FootnoteReference"/>
          <w:rFonts w:ascii="Verdana" w:hAnsi="Verdana"/>
          <w:sz w:val="22"/>
          <w:szCs w:val="22"/>
        </w:rPr>
        <w:footnoteReference w:id="21"/>
      </w:r>
      <w:r w:rsidR="7D7E6F2F" w:rsidRPr="008D6AC4">
        <w:rPr>
          <w:rFonts w:ascii="Verdana" w:hAnsi="Verdana"/>
          <w:sz w:val="22"/>
          <w:szCs w:val="22"/>
          <w:vertAlign w:val="superscript"/>
        </w:rPr>
        <w:t>,</w:t>
      </w:r>
      <w:r w:rsidR="00630AB0" w:rsidRPr="008D6AC4">
        <w:rPr>
          <w:rStyle w:val="FootnoteReference"/>
          <w:rFonts w:ascii="Verdana" w:hAnsi="Verdana"/>
          <w:sz w:val="22"/>
          <w:szCs w:val="22"/>
        </w:rPr>
        <w:footnoteReference w:id="22"/>
      </w:r>
      <w:r w:rsidRPr="008D6AC4">
        <w:rPr>
          <w:rFonts w:ascii="Verdana" w:hAnsi="Verdana"/>
          <w:sz w:val="22"/>
          <w:szCs w:val="22"/>
        </w:rPr>
        <w:t>.</w:t>
      </w:r>
    </w:p>
    <w:p w14:paraId="3D876A0A" w14:textId="77777777" w:rsidR="00630AB0" w:rsidRPr="008D6AC4" w:rsidRDefault="4772D262" w:rsidP="136F3BEB">
      <w:pPr>
        <w:pStyle w:val="Heading2"/>
        <w:numPr>
          <w:ilvl w:val="0"/>
          <w:numId w:val="0"/>
        </w:numPr>
        <w:rPr>
          <w:rFonts w:ascii="Verdana" w:eastAsiaTheme="minorEastAsia" w:hAnsi="Verdana"/>
          <w:sz w:val="22"/>
          <w:szCs w:val="22"/>
        </w:rPr>
      </w:pPr>
      <w:bookmarkStart w:id="4" w:name="_Toc2106312738"/>
      <w:r w:rsidRPr="136F3BEB">
        <w:rPr>
          <w:rFonts w:ascii="Verdana" w:eastAsiaTheme="minorEastAsia" w:hAnsi="Verdana"/>
          <w:sz w:val="22"/>
          <w:szCs w:val="22"/>
        </w:rPr>
        <w:t xml:space="preserve">2.1.3 </w:t>
      </w:r>
      <w:r w:rsidR="65B6788B" w:rsidRPr="136F3BEB">
        <w:rPr>
          <w:rFonts w:ascii="Verdana" w:eastAsiaTheme="minorEastAsia" w:hAnsi="Verdana"/>
          <w:sz w:val="22"/>
          <w:szCs w:val="22"/>
        </w:rPr>
        <w:t>The HIV Action Plan</w:t>
      </w:r>
      <w:bookmarkEnd w:id="4"/>
    </w:p>
    <w:p w14:paraId="0EFBD495" w14:textId="77777777" w:rsidR="00630AB0" w:rsidRPr="008D6AC4" w:rsidRDefault="3FF834EE" w:rsidP="00630AB0">
      <w:pPr>
        <w:jc w:val="both"/>
        <w:rPr>
          <w:rFonts w:ascii="Verdana" w:hAnsi="Verdana"/>
          <w:sz w:val="22"/>
          <w:szCs w:val="22"/>
        </w:rPr>
      </w:pPr>
      <w:r w:rsidRPr="008D6AC4">
        <w:rPr>
          <w:rFonts w:ascii="Verdana" w:hAnsi="Verdana"/>
          <w:sz w:val="22"/>
          <w:szCs w:val="22"/>
        </w:rPr>
        <w:t>In 2021, the government released a HIV Action Plan</w:t>
      </w:r>
      <w:r w:rsidR="00630AB0" w:rsidRPr="008D6AC4">
        <w:rPr>
          <w:rStyle w:val="FootnoteReference"/>
          <w:rFonts w:ascii="Verdana" w:hAnsi="Verdana"/>
          <w:sz w:val="22"/>
          <w:szCs w:val="22"/>
        </w:rPr>
        <w:footnoteReference w:id="23"/>
      </w:r>
      <w:r w:rsidRPr="008D6AC4">
        <w:rPr>
          <w:rFonts w:ascii="Verdana" w:hAnsi="Verdana"/>
          <w:sz w:val="22"/>
          <w:szCs w:val="22"/>
        </w:rPr>
        <w:t xml:space="preserve">, setting out a plan for 2022 to 2025, with the </w:t>
      </w:r>
      <w:r w:rsidR="236F615F" w:rsidRPr="008D6AC4">
        <w:rPr>
          <w:rFonts w:ascii="Verdana" w:hAnsi="Verdana"/>
          <w:sz w:val="22"/>
          <w:szCs w:val="22"/>
        </w:rPr>
        <w:t>aim</w:t>
      </w:r>
      <w:r w:rsidRPr="008D6AC4">
        <w:rPr>
          <w:rFonts w:ascii="Verdana" w:hAnsi="Verdana"/>
          <w:sz w:val="22"/>
          <w:szCs w:val="22"/>
        </w:rPr>
        <w:t xml:space="preserve"> of achieving zero new transmissions of HIV by 2030.  New HIV diagnoses amongst men who have sex with men has declined, narrowing the gap between gay and bisexual men and the heterosexual population. The action plan highlights however that progress is still needed for priority groups including black African heterosexuals and gay and bisexual men. </w:t>
      </w:r>
    </w:p>
    <w:p w14:paraId="6E170E86" w14:textId="77777777" w:rsidR="00630AB0" w:rsidRPr="008D6AC4" w:rsidRDefault="3FF834EE" w:rsidP="00630AB0">
      <w:pPr>
        <w:jc w:val="both"/>
        <w:rPr>
          <w:rFonts w:ascii="Verdana" w:hAnsi="Verdana"/>
          <w:sz w:val="22"/>
          <w:szCs w:val="22"/>
        </w:rPr>
      </w:pPr>
      <w:r w:rsidRPr="008D6AC4">
        <w:rPr>
          <w:rFonts w:ascii="Verdana" w:hAnsi="Verdana"/>
          <w:sz w:val="22"/>
          <w:szCs w:val="22"/>
        </w:rPr>
        <w:t>The action plan has four key objectives, that will be achieved with partnership working across the health system.</w:t>
      </w:r>
      <w:r w:rsidR="7D7E6F2F" w:rsidRPr="008D6AC4">
        <w:rPr>
          <w:rFonts w:ascii="Verdana" w:hAnsi="Verdana"/>
          <w:sz w:val="22"/>
          <w:szCs w:val="22"/>
        </w:rPr>
        <w:t xml:space="preserve"> </w:t>
      </w:r>
      <w:r w:rsidRPr="008D6AC4">
        <w:rPr>
          <w:rFonts w:ascii="Verdana" w:hAnsi="Verdana"/>
          <w:sz w:val="22"/>
          <w:szCs w:val="22"/>
        </w:rPr>
        <w:t>The first objective is centred around prevention, with an annual national HIV Testing Week, a range of prevention campaigns and new funding to provide HIV pre-exposure prophylaxis (</w:t>
      </w:r>
      <w:proofErr w:type="spellStart"/>
      <w:r w:rsidRPr="008D6AC4">
        <w:rPr>
          <w:rFonts w:ascii="Verdana" w:hAnsi="Verdana"/>
          <w:sz w:val="22"/>
          <w:szCs w:val="22"/>
        </w:rPr>
        <w:t>PrEP</w:t>
      </w:r>
      <w:proofErr w:type="spellEnd"/>
      <w:r w:rsidRPr="008D6AC4">
        <w:rPr>
          <w:rFonts w:ascii="Verdana" w:hAnsi="Verdana"/>
          <w:sz w:val="22"/>
          <w:szCs w:val="22"/>
        </w:rPr>
        <w:t xml:space="preserve">) in sexual health services. A plan will also be developed to provide </w:t>
      </w:r>
      <w:proofErr w:type="spellStart"/>
      <w:r w:rsidRPr="008D6AC4">
        <w:rPr>
          <w:rFonts w:ascii="Verdana" w:hAnsi="Verdana"/>
          <w:sz w:val="22"/>
          <w:szCs w:val="22"/>
        </w:rPr>
        <w:t>PrEP</w:t>
      </w:r>
      <w:proofErr w:type="spellEnd"/>
      <w:r w:rsidRPr="008D6AC4">
        <w:rPr>
          <w:rFonts w:ascii="Verdana" w:hAnsi="Verdana"/>
          <w:sz w:val="22"/>
          <w:szCs w:val="22"/>
        </w:rPr>
        <w:t xml:space="preserve"> in settings outside of sexual health services, such as pharmacies and drug and alcohol services. There have however been concerns around the impact of offering </w:t>
      </w:r>
      <w:proofErr w:type="spellStart"/>
      <w:r w:rsidRPr="008D6AC4">
        <w:rPr>
          <w:rFonts w:ascii="Verdana" w:hAnsi="Verdana"/>
          <w:sz w:val="22"/>
          <w:szCs w:val="22"/>
        </w:rPr>
        <w:t>PrEP</w:t>
      </w:r>
      <w:proofErr w:type="spellEnd"/>
      <w:r w:rsidRPr="008D6AC4">
        <w:rPr>
          <w:rFonts w:ascii="Verdana" w:hAnsi="Verdana"/>
          <w:sz w:val="22"/>
          <w:szCs w:val="22"/>
        </w:rPr>
        <w:t xml:space="preserve"> within sexual health services on other sexual health appointments</w:t>
      </w:r>
      <w:r w:rsidR="00630AB0" w:rsidRPr="008D6AC4">
        <w:rPr>
          <w:rStyle w:val="FootnoteReference"/>
          <w:rFonts w:ascii="Verdana" w:hAnsi="Verdana"/>
          <w:sz w:val="22"/>
          <w:szCs w:val="22"/>
        </w:rPr>
        <w:footnoteReference w:id="24"/>
      </w:r>
      <w:r w:rsidRPr="008D6AC4">
        <w:rPr>
          <w:rFonts w:ascii="Verdana" w:hAnsi="Verdana"/>
          <w:sz w:val="22"/>
          <w:szCs w:val="22"/>
        </w:rPr>
        <w:t xml:space="preserve">. </w:t>
      </w:r>
    </w:p>
    <w:p w14:paraId="059525F1" w14:textId="77777777" w:rsidR="00630AB0" w:rsidRPr="008D6AC4" w:rsidRDefault="00630AB0" w:rsidP="00630AB0">
      <w:pPr>
        <w:jc w:val="both"/>
        <w:rPr>
          <w:rFonts w:ascii="Verdana" w:hAnsi="Verdana"/>
          <w:sz w:val="22"/>
          <w:szCs w:val="22"/>
        </w:rPr>
      </w:pPr>
      <w:r w:rsidRPr="008D6AC4">
        <w:rPr>
          <w:rFonts w:ascii="Verdana" w:hAnsi="Verdana"/>
          <w:sz w:val="22"/>
          <w:szCs w:val="22"/>
        </w:rPr>
        <w:t xml:space="preserve">The second objective is to scale up HIV testing, increasing the number of people offered a test in sexual health services and improving the coverage of opt-out testing in healthcare settings in geographic areas of high HIV prevalence.  </w:t>
      </w:r>
    </w:p>
    <w:p w14:paraId="45DD3A62" w14:textId="77777777" w:rsidR="00630AB0" w:rsidRPr="008D6AC4" w:rsidRDefault="00630AB0" w:rsidP="00630AB0">
      <w:pPr>
        <w:jc w:val="both"/>
        <w:rPr>
          <w:rFonts w:ascii="Verdana" w:hAnsi="Verdana"/>
          <w:sz w:val="22"/>
          <w:szCs w:val="22"/>
        </w:rPr>
      </w:pPr>
      <w:r w:rsidRPr="008D6AC4">
        <w:rPr>
          <w:rFonts w:ascii="Verdana" w:hAnsi="Verdana"/>
          <w:sz w:val="22"/>
          <w:szCs w:val="22"/>
        </w:rPr>
        <w:t>The third objective is to optimise rapid access to treatment and provide additional support for those with complex needs to address inequalities in access to and retention in treatment. This will be done by identifying the key barriers to retention in care and providing information for local commissioners and service providers to use innovative HIV care delivery such as outreach work and remote consultations.</w:t>
      </w:r>
    </w:p>
    <w:p w14:paraId="5315A568" w14:textId="77777777" w:rsidR="00630AB0" w:rsidRPr="008D6AC4" w:rsidRDefault="454142A2" w:rsidP="00630AB0">
      <w:pPr>
        <w:jc w:val="both"/>
        <w:rPr>
          <w:rFonts w:ascii="Verdana" w:hAnsi="Verdana"/>
          <w:sz w:val="22"/>
          <w:szCs w:val="22"/>
        </w:rPr>
      </w:pPr>
      <w:r w:rsidRPr="008D6AC4">
        <w:rPr>
          <w:rFonts w:ascii="Verdana" w:hAnsi="Verdana"/>
          <w:sz w:val="22"/>
          <w:szCs w:val="22"/>
        </w:rPr>
        <w:t>And finally, the fourth objective aims to improve quality of life for people living with HIV and address stigma. This will be done by improving knowledge about transmission of HIV and the importance of treatment as prevention and investing in peer support pathways.</w:t>
      </w:r>
    </w:p>
    <w:p w14:paraId="00775E87" w14:textId="77777777" w:rsidR="008219F3" w:rsidRPr="008D6AC4" w:rsidRDefault="5D3D822C" w:rsidP="7FF55879">
      <w:pPr>
        <w:jc w:val="both"/>
        <w:rPr>
          <w:rFonts w:ascii="Verdana" w:hAnsi="Verdana"/>
          <w:sz w:val="22"/>
          <w:szCs w:val="22"/>
        </w:rPr>
      </w:pPr>
      <w:r w:rsidRPr="008D6AC4">
        <w:rPr>
          <w:rFonts w:ascii="Verdana" w:hAnsi="Verdana"/>
          <w:sz w:val="22"/>
          <w:szCs w:val="22"/>
        </w:rPr>
        <w:lastRenderedPageBreak/>
        <w:t xml:space="preserve">The newly elected Labour Government have committed to issuing a new HIV Action Plan </w:t>
      </w:r>
      <w:r w:rsidR="3FE9F197" w:rsidRPr="008D6AC4">
        <w:rPr>
          <w:rFonts w:ascii="Verdana" w:hAnsi="Verdana"/>
          <w:sz w:val="22"/>
          <w:szCs w:val="22"/>
        </w:rPr>
        <w:t xml:space="preserve">in 2025 to support and grow the work set out above. It will cover a </w:t>
      </w:r>
      <w:r w:rsidR="1068C457" w:rsidRPr="008D6AC4">
        <w:rPr>
          <w:rFonts w:ascii="Verdana" w:hAnsi="Verdana"/>
          <w:sz w:val="22"/>
          <w:szCs w:val="22"/>
        </w:rPr>
        <w:t>10-year</w:t>
      </w:r>
      <w:r w:rsidR="3FE9F197" w:rsidRPr="008D6AC4">
        <w:rPr>
          <w:rFonts w:ascii="Verdana" w:hAnsi="Verdana"/>
          <w:sz w:val="22"/>
          <w:szCs w:val="22"/>
        </w:rPr>
        <w:t xml:space="preserve"> period and aim to bring transmissions down to 0</w:t>
      </w:r>
      <w:r w:rsidR="0C9E1CE6" w:rsidRPr="008D6AC4">
        <w:rPr>
          <w:rStyle w:val="FootnoteReference"/>
          <w:rFonts w:ascii="Verdana" w:hAnsi="Verdana"/>
          <w:sz w:val="22"/>
          <w:szCs w:val="22"/>
        </w:rPr>
        <w:footnoteReference w:id="25"/>
      </w:r>
      <w:r w:rsidR="3FE9F197" w:rsidRPr="008D6AC4">
        <w:rPr>
          <w:rFonts w:ascii="Verdana" w:hAnsi="Verdana"/>
          <w:sz w:val="22"/>
          <w:szCs w:val="22"/>
        </w:rPr>
        <w:t>.</w:t>
      </w:r>
      <w:r w:rsidR="0C9E1CE6" w:rsidRPr="008D6AC4">
        <w:rPr>
          <w:rFonts w:ascii="Verdana" w:hAnsi="Verdana"/>
        </w:rPr>
        <w:br/>
      </w:r>
    </w:p>
    <w:p w14:paraId="7E72090D" w14:textId="77777777" w:rsidR="00630AB0" w:rsidRPr="00AF7733" w:rsidRDefault="7764B73C" w:rsidP="49636075">
      <w:pPr>
        <w:pStyle w:val="Heading2"/>
        <w:numPr>
          <w:ilvl w:val="0"/>
          <w:numId w:val="0"/>
        </w:numPr>
        <w:rPr>
          <w:rFonts w:ascii="Verdana" w:eastAsia="Verdana" w:hAnsi="Verdana" w:cs="Verdana"/>
          <w:sz w:val="22"/>
          <w:szCs w:val="22"/>
        </w:rPr>
      </w:pPr>
      <w:bookmarkStart w:id="5" w:name="_Toc2004124074"/>
      <w:r w:rsidRPr="136F3BEB">
        <w:rPr>
          <w:rFonts w:ascii="Verdana" w:hAnsi="Verdana"/>
          <w:sz w:val="22"/>
          <w:szCs w:val="22"/>
        </w:rPr>
        <w:t xml:space="preserve">2.1.4 </w:t>
      </w:r>
      <w:r w:rsidR="65B6788B" w:rsidRPr="136F3BEB">
        <w:rPr>
          <w:rFonts w:ascii="Verdana" w:eastAsia="Verdana" w:hAnsi="Verdana" w:cs="Verdana"/>
          <w:sz w:val="22"/>
          <w:szCs w:val="22"/>
        </w:rPr>
        <w:t>The Women’s Health Strategy</w:t>
      </w:r>
      <w:bookmarkEnd w:id="5"/>
    </w:p>
    <w:p w14:paraId="77D237C6" w14:textId="77777777" w:rsidR="00630AB0" w:rsidRPr="008D6AC4" w:rsidRDefault="532C6B5B" w:rsidP="00630AB0">
      <w:pPr>
        <w:jc w:val="both"/>
        <w:rPr>
          <w:rFonts w:ascii="Verdana" w:hAnsi="Verdana"/>
          <w:sz w:val="22"/>
          <w:szCs w:val="22"/>
        </w:rPr>
      </w:pPr>
      <w:r w:rsidRPr="008D6AC4">
        <w:rPr>
          <w:rFonts w:ascii="Verdana" w:hAnsi="Verdana"/>
          <w:sz w:val="22"/>
          <w:szCs w:val="22"/>
        </w:rPr>
        <w:t>The Women’s Health Strategy for England</w:t>
      </w:r>
      <w:r w:rsidR="00630AB0" w:rsidRPr="008D6AC4">
        <w:rPr>
          <w:rStyle w:val="FootnoteReference"/>
          <w:rFonts w:ascii="Verdana" w:hAnsi="Verdana"/>
          <w:sz w:val="22"/>
          <w:szCs w:val="22"/>
        </w:rPr>
        <w:footnoteReference w:id="26"/>
      </w:r>
      <w:r w:rsidRPr="008D6AC4">
        <w:rPr>
          <w:rFonts w:ascii="Verdana" w:hAnsi="Verdana"/>
          <w:sz w:val="22"/>
          <w:szCs w:val="22"/>
        </w:rPr>
        <w:t xml:space="preserve"> was released by the government in August 2022. It provides a 6-point plan to improve health outcomes for women and girls and improve the way in which the health and care systems engages with them, within the next 10 years.  The strategy will also support several priority areas where </w:t>
      </w:r>
      <w:r w:rsidR="56FD7969" w:rsidRPr="008D6AC4">
        <w:rPr>
          <w:rFonts w:ascii="Verdana" w:hAnsi="Verdana"/>
          <w:sz w:val="22"/>
          <w:szCs w:val="22"/>
        </w:rPr>
        <w:t>issues</w:t>
      </w:r>
      <w:r w:rsidRPr="008D6AC4">
        <w:rPr>
          <w:rFonts w:ascii="Verdana" w:hAnsi="Verdana"/>
          <w:sz w:val="22"/>
          <w:szCs w:val="22"/>
        </w:rPr>
        <w:t xml:space="preserve"> were highlighted, including the menopause, the health impacts of violence against women and girls, and gynaecological conditions. The strategy adopts a life course approach, with the need for good sexual health and wellbeing being prioritised across the life course from adolescence to later years. </w:t>
      </w:r>
    </w:p>
    <w:p w14:paraId="56B29CA4" w14:textId="77777777" w:rsidR="00630AB0" w:rsidRPr="008D6AC4" w:rsidRDefault="00630AB0" w:rsidP="00630AB0">
      <w:pPr>
        <w:jc w:val="both"/>
        <w:rPr>
          <w:rFonts w:ascii="Verdana" w:hAnsi="Verdana"/>
          <w:sz w:val="22"/>
          <w:szCs w:val="22"/>
        </w:rPr>
      </w:pPr>
      <w:r w:rsidRPr="008D6AC4">
        <w:rPr>
          <w:rFonts w:ascii="Verdana" w:hAnsi="Verdana"/>
          <w:sz w:val="22"/>
          <w:szCs w:val="22"/>
        </w:rPr>
        <w:t>Sexual and reproductive health is included within the strategy in several areas. Ensuring women’s voices are heard, in particular for gynaecological procedures is a key area, with the strategy outlining implementation of best practice that encourages shared decision making between professionals and women. To improve access to services, the strategy encourages local commissioners to consider one-stop clinics and women’s health hubs with co-commissioning of reproductive health and sexual health services between local authorities and the NHS.</w:t>
      </w:r>
    </w:p>
    <w:p w14:paraId="1D302735" w14:textId="77777777" w:rsidR="00630AB0" w:rsidRPr="00AF7733" w:rsidRDefault="00630AB0" w:rsidP="00630AB0">
      <w:pPr>
        <w:jc w:val="both"/>
        <w:rPr>
          <w:rFonts w:ascii="Verdana" w:hAnsi="Verdana"/>
          <w:sz w:val="22"/>
          <w:szCs w:val="22"/>
        </w:rPr>
      </w:pPr>
      <w:r w:rsidRPr="008D6AC4">
        <w:rPr>
          <w:rFonts w:ascii="Verdana" w:hAnsi="Verdana"/>
          <w:sz w:val="22"/>
          <w:szCs w:val="22"/>
        </w:rPr>
        <w:t>The strategy recognises that women in inclusion health populations may not have engaged in the call for evidence that supported development of the strategy. To tackle disparities, the government pledges to work with the Women’s Health</w:t>
      </w:r>
      <w:r w:rsidR="00F15BC2" w:rsidRPr="008D6AC4">
        <w:rPr>
          <w:rFonts w:ascii="Verdana" w:hAnsi="Verdana"/>
          <w:sz w:val="22"/>
          <w:szCs w:val="22"/>
        </w:rPr>
        <w:t xml:space="preserve"> </w:t>
      </w:r>
      <w:r w:rsidRPr="008D6AC4">
        <w:rPr>
          <w:rFonts w:ascii="Verdana" w:hAnsi="Verdana"/>
          <w:sz w:val="22"/>
          <w:szCs w:val="22"/>
        </w:rPr>
        <w:t xml:space="preserve">Ambassador to address these gaps in insight when implementing the strategy. The call for evidence also recognised that there was very low awareness of services for victims of violence, such as sexual assault referral centres (SARCs). Actions to address this are underway, for example the </w:t>
      </w:r>
      <w:r w:rsidRPr="00AF7733">
        <w:rPr>
          <w:rFonts w:ascii="Verdana" w:hAnsi="Verdana"/>
          <w:sz w:val="22"/>
          <w:szCs w:val="22"/>
        </w:rPr>
        <w:t xml:space="preserve">NHS launched a campaign in February 2022 to increase awareness of SARCs. </w:t>
      </w:r>
    </w:p>
    <w:p w14:paraId="5B5CD7BF" w14:textId="77777777" w:rsidR="00630AB0" w:rsidRPr="00AF7733" w:rsidRDefault="00630AB0" w:rsidP="00630AB0">
      <w:pPr>
        <w:jc w:val="both"/>
        <w:rPr>
          <w:rFonts w:ascii="Verdana" w:hAnsi="Verdana"/>
          <w:sz w:val="22"/>
          <w:szCs w:val="22"/>
        </w:rPr>
      </w:pPr>
      <w:r w:rsidRPr="00AF7733">
        <w:rPr>
          <w:rFonts w:ascii="Verdana" w:hAnsi="Verdana"/>
          <w:sz w:val="22"/>
          <w:szCs w:val="22"/>
        </w:rPr>
        <w:t xml:space="preserve">Further strategic guidance relating to sexual health will be included in the sexual and reproductive health strategy which is due to be released by the government. </w:t>
      </w:r>
    </w:p>
    <w:p w14:paraId="13CD9CC5" w14:textId="77777777" w:rsidR="00630AB0" w:rsidRPr="00AF7733" w:rsidRDefault="7D49AE91" w:rsidP="49636075">
      <w:pPr>
        <w:pStyle w:val="Heading2"/>
        <w:numPr>
          <w:ilvl w:val="0"/>
          <w:numId w:val="0"/>
        </w:numPr>
        <w:rPr>
          <w:rFonts w:ascii="Verdana" w:eastAsia="Verdana" w:hAnsi="Verdana" w:cs="Verdana"/>
          <w:sz w:val="22"/>
          <w:szCs w:val="22"/>
        </w:rPr>
      </w:pPr>
      <w:bookmarkStart w:id="6" w:name="_Toc1234351804"/>
      <w:r w:rsidRPr="136F3BEB">
        <w:rPr>
          <w:rFonts w:ascii="Verdana" w:hAnsi="Verdana"/>
          <w:sz w:val="22"/>
          <w:szCs w:val="22"/>
        </w:rPr>
        <w:t xml:space="preserve">2.1.5 </w:t>
      </w:r>
      <w:r w:rsidR="65B6788B" w:rsidRPr="136F3BEB">
        <w:rPr>
          <w:rFonts w:ascii="Verdana" w:eastAsia="Verdana" w:hAnsi="Verdana" w:cs="Verdana"/>
          <w:sz w:val="22"/>
          <w:szCs w:val="22"/>
        </w:rPr>
        <w:t>Relationships and Sex Education (RSE) in Schools</w:t>
      </w:r>
      <w:bookmarkEnd w:id="6"/>
    </w:p>
    <w:p w14:paraId="5203F800" w14:textId="77777777" w:rsidR="00630AB0" w:rsidRPr="00AF7733" w:rsidRDefault="532C6B5B" w:rsidP="00630AB0">
      <w:pPr>
        <w:jc w:val="both"/>
        <w:rPr>
          <w:rFonts w:ascii="Verdana" w:hAnsi="Verdana"/>
          <w:sz w:val="22"/>
          <w:szCs w:val="22"/>
        </w:rPr>
      </w:pPr>
      <w:r w:rsidRPr="00AF7733">
        <w:rPr>
          <w:rFonts w:ascii="Verdana" w:hAnsi="Verdana"/>
          <w:sz w:val="22"/>
          <w:szCs w:val="22"/>
        </w:rPr>
        <w:t>In September 2020, Relationship and Sex Education become a mandatory subject on the curriculum for schools in England</w:t>
      </w:r>
      <w:r w:rsidR="00630AB0" w:rsidRPr="00AF7733">
        <w:rPr>
          <w:rStyle w:val="FootnoteReference"/>
          <w:rFonts w:ascii="Verdana" w:hAnsi="Verdana"/>
          <w:sz w:val="22"/>
          <w:szCs w:val="22"/>
        </w:rPr>
        <w:footnoteReference w:id="27"/>
      </w:r>
      <w:r w:rsidRPr="00AF7733">
        <w:rPr>
          <w:rFonts w:ascii="Verdana" w:hAnsi="Verdana"/>
          <w:sz w:val="22"/>
          <w:szCs w:val="22"/>
        </w:rPr>
        <w:t xml:space="preserve">. This supports young people’s development of healthy relationships, safe sex lives, and other contributors to </w:t>
      </w:r>
      <w:r w:rsidRPr="00AF7733">
        <w:rPr>
          <w:rFonts w:ascii="Verdana" w:hAnsi="Verdana"/>
          <w:sz w:val="22"/>
          <w:szCs w:val="22"/>
        </w:rPr>
        <w:lastRenderedPageBreak/>
        <w:t>good sexual health outcomes such as understanding the impacts of drug and alcohol use on sexual behaviours.</w:t>
      </w:r>
    </w:p>
    <w:p w14:paraId="7D4DE7F2" w14:textId="77777777" w:rsidR="00630AB0" w:rsidRPr="00AF7733" w:rsidRDefault="00630AB0" w:rsidP="00630AB0">
      <w:pPr>
        <w:jc w:val="both"/>
        <w:rPr>
          <w:rFonts w:ascii="Verdana" w:hAnsi="Verdana"/>
          <w:sz w:val="22"/>
          <w:szCs w:val="22"/>
        </w:rPr>
      </w:pPr>
      <w:r w:rsidRPr="00AF7733">
        <w:rPr>
          <w:rFonts w:ascii="Verdana" w:hAnsi="Verdana"/>
          <w:sz w:val="22"/>
          <w:szCs w:val="22"/>
        </w:rPr>
        <w:t>Pupils should be taught a range of topics relevant to sexual health including information about fertility and reproductive health, contraceptive choices, consent and the law and STIs (including prevention, testing and treatment).</w:t>
      </w:r>
    </w:p>
    <w:p w14:paraId="30C827D9" w14:textId="77777777" w:rsidR="00630AB0" w:rsidRPr="00AF7733" w:rsidRDefault="532C6B5B" w:rsidP="00630AB0">
      <w:pPr>
        <w:jc w:val="both"/>
        <w:rPr>
          <w:rFonts w:ascii="Verdana" w:hAnsi="Verdana"/>
          <w:sz w:val="22"/>
          <w:szCs w:val="22"/>
        </w:rPr>
      </w:pPr>
      <w:r w:rsidRPr="00AF7733">
        <w:rPr>
          <w:rFonts w:ascii="Verdana" w:hAnsi="Verdana"/>
          <w:sz w:val="22"/>
          <w:szCs w:val="22"/>
        </w:rPr>
        <w:t>RSE also supports the Women’s Health Strategy</w:t>
      </w:r>
      <w:r w:rsidR="00630AB0" w:rsidRPr="00AF7733">
        <w:rPr>
          <w:rStyle w:val="FootnoteReference"/>
          <w:rFonts w:ascii="Verdana" w:hAnsi="Verdana"/>
          <w:sz w:val="22"/>
          <w:szCs w:val="22"/>
        </w:rPr>
        <w:footnoteReference w:id="28"/>
      </w:r>
      <w:r w:rsidRPr="00AF7733">
        <w:rPr>
          <w:rFonts w:ascii="Verdana" w:hAnsi="Verdana"/>
          <w:sz w:val="22"/>
          <w:szCs w:val="22"/>
        </w:rPr>
        <w:t xml:space="preserve"> by teaching about women’s health topics such as contraception and the menopause. Both boys and girls are taught, ideally together, to reduce stigma around these issues.</w:t>
      </w:r>
    </w:p>
    <w:p w14:paraId="09AD9045" w14:textId="77777777" w:rsidR="00630AB0" w:rsidRPr="00AF7733" w:rsidRDefault="00630AB0" w:rsidP="00630AB0">
      <w:pPr>
        <w:jc w:val="both"/>
        <w:rPr>
          <w:rFonts w:ascii="Verdana" w:hAnsi="Verdana"/>
          <w:sz w:val="22"/>
          <w:szCs w:val="22"/>
        </w:rPr>
      </w:pPr>
      <w:r w:rsidRPr="00AF7733">
        <w:rPr>
          <w:rFonts w:ascii="Verdana" w:hAnsi="Verdana"/>
          <w:sz w:val="22"/>
          <w:szCs w:val="22"/>
        </w:rPr>
        <w:t xml:space="preserve">In Kent, RSE is delivered by a mixture of teaching staff, non-teaching staff, and external agencies. There is no mandatory training for RSE, but there are training materials available. </w:t>
      </w:r>
    </w:p>
    <w:p w14:paraId="628451C6" w14:textId="77777777" w:rsidR="00630AB0" w:rsidRPr="00AF7733" w:rsidRDefault="74E15BB1" w:rsidP="49636075">
      <w:pPr>
        <w:pStyle w:val="Heading2"/>
        <w:numPr>
          <w:ilvl w:val="0"/>
          <w:numId w:val="0"/>
        </w:numPr>
        <w:rPr>
          <w:rFonts w:ascii="Verdana" w:eastAsia="Verdana" w:hAnsi="Verdana" w:cs="Verdana"/>
          <w:sz w:val="22"/>
          <w:szCs w:val="22"/>
        </w:rPr>
      </w:pPr>
      <w:bookmarkStart w:id="7" w:name="_Toc796847755"/>
      <w:r w:rsidRPr="136F3BEB">
        <w:rPr>
          <w:rFonts w:ascii="Verdana" w:hAnsi="Verdana"/>
          <w:sz w:val="22"/>
          <w:szCs w:val="22"/>
        </w:rPr>
        <w:t xml:space="preserve">2.1.6 </w:t>
      </w:r>
      <w:r w:rsidR="65B6788B" w:rsidRPr="136F3BEB">
        <w:rPr>
          <w:rFonts w:ascii="Verdana" w:eastAsia="Verdana" w:hAnsi="Verdana" w:cs="Verdana"/>
          <w:sz w:val="22"/>
          <w:szCs w:val="22"/>
        </w:rPr>
        <w:t>Changes to termination of pregnancy services</w:t>
      </w:r>
      <w:bookmarkEnd w:id="7"/>
    </w:p>
    <w:p w14:paraId="0942074D" w14:textId="77777777" w:rsidR="00630AB0" w:rsidRPr="00AF7733" w:rsidRDefault="532C6B5B" w:rsidP="00630AB0">
      <w:pPr>
        <w:jc w:val="both"/>
        <w:rPr>
          <w:rFonts w:ascii="Verdana" w:hAnsi="Verdana"/>
          <w:sz w:val="22"/>
          <w:szCs w:val="22"/>
        </w:rPr>
      </w:pPr>
      <w:r w:rsidRPr="00AF7733">
        <w:rPr>
          <w:rFonts w:ascii="Verdana" w:hAnsi="Verdana"/>
          <w:sz w:val="22"/>
          <w:szCs w:val="22"/>
        </w:rPr>
        <w:t>During the COVID-19 pandemic, access to in-person termination of pregnancy services was affected</w:t>
      </w:r>
      <w:r w:rsidR="00630AB0" w:rsidRPr="00AF7733">
        <w:rPr>
          <w:rStyle w:val="FootnoteReference"/>
          <w:rFonts w:ascii="Verdana" w:hAnsi="Verdana"/>
          <w:sz w:val="22"/>
          <w:szCs w:val="22"/>
        </w:rPr>
        <w:footnoteReference w:id="29"/>
      </w:r>
      <w:r w:rsidRPr="00AF7733">
        <w:rPr>
          <w:rFonts w:ascii="Verdana" w:hAnsi="Verdana"/>
          <w:sz w:val="22"/>
          <w:szCs w:val="22"/>
        </w:rPr>
        <w:t>, leading to the introduction of at-home early medical abortions. This was initially a temporary change to legislation</w:t>
      </w:r>
      <w:r w:rsidR="00630AB0" w:rsidRPr="00AF7733">
        <w:rPr>
          <w:rStyle w:val="FootnoteReference"/>
          <w:rFonts w:ascii="Verdana" w:hAnsi="Verdana"/>
          <w:sz w:val="22"/>
          <w:szCs w:val="22"/>
        </w:rPr>
        <w:footnoteReference w:id="30"/>
      </w:r>
      <w:r w:rsidRPr="00AF7733">
        <w:rPr>
          <w:rFonts w:ascii="Verdana" w:hAnsi="Verdana"/>
          <w:sz w:val="22"/>
          <w:szCs w:val="22"/>
        </w:rPr>
        <w:t>, which was made permanent from August 2022</w:t>
      </w:r>
      <w:r w:rsidR="00630AB0" w:rsidRPr="00AF7733">
        <w:rPr>
          <w:rStyle w:val="FootnoteReference"/>
          <w:rFonts w:ascii="Verdana" w:hAnsi="Verdana"/>
          <w:sz w:val="22"/>
          <w:szCs w:val="22"/>
        </w:rPr>
        <w:footnoteReference w:id="31"/>
      </w:r>
      <w:r w:rsidRPr="00AF7733">
        <w:rPr>
          <w:rFonts w:ascii="Verdana" w:hAnsi="Verdana"/>
          <w:sz w:val="22"/>
          <w:szCs w:val="22"/>
        </w:rPr>
        <w:t>. The legislation allows for women and girls to access pills for early (up to a gestation of 9 weeks and 6 days) abortion via a teleconsultation, and for these to be taken at home. The Royal College of Paediatrics and Child Health (RCPCH) was also commissioned to develop safeguarding guidance for children and young people under 18 accessing the services</w:t>
      </w:r>
      <w:r w:rsidR="00630AB0" w:rsidRPr="00AF7733">
        <w:rPr>
          <w:rStyle w:val="FootnoteReference"/>
          <w:rFonts w:ascii="Verdana" w:hAnsi="Verdana"/>
          <w:sz w:val="22"/>
          <w:szCs w:val="22"/>
        </w:rPr>
        <w:footnoteReference w:id="32"/>
      </w:r>
      <w:r w:rsidRPr="00AF7733">
        <w:rPr>
          <w:rFonts w:ascii="Verdana" w:hAnsi="Verdana"/>
          <w:sz w:val="22"/>
          <w:szCs w:val="22"/>
        </w:rPr>
        <w:t>.</w:t>
      </w:r>
    </w:p>
    <w:p w14:paraId="451EDDCE" w14:textId="77777777" w:rsidR="00630AB0" w:rsidRPr="00AF7733" w:rsidRDefault="00630AB0" w:rsidP="00630AB0">
      <w:pPr>
        <w:jc w:val="both"/>
        <w:rPr>
          <w:rFonts w:ascii="Verdana" w:hAnsi="Verdana"/>
          <w:sz w:val="22"/>
          <w:szCs w:val="22"/>
        </w:rPr>
      </w:pPr>
      <w:r w:rsidRPr="00AF7733">
        <w:rPr>
          <w:rFonts w:ascii="Verdana" w:hAnsi="Verdana"/>
          <w:sz w:val="22"/>
          <w:szCs w:val="22"/>
        </w:rPr>
        <w:t xml:space="preserve">Information on place of termination will be collected via abortion notification forms </w:t>
      </w:r>
      <w:r w:rsidR="00933EEB" w:rsidRPr="00AF7733">
        <w:rPr>
          <w:rFonts w:ascii="Verdana" w:hAnsi="Verdana"/>
          <w:sz w:val="22"/>
          <w:szCs w:val="22"/>
        </w:rPr>
        <w:t xml:space="preserve">so that </w:t>
      </w:r>
      <w:r w:rsidRPr="00AF7733">
        <w:rPr>
          <w:rFonts w:ascii="Verdana" w:hAnsi="Verdana"/>
          <w:sz w:val="22"/>
          <w:szCs w:val="22"/>
        </w:rPr>
        <w:t xml:space="preserve">data </w:t>
      </w:r>
      <w:r w:rsidR="00933EEB" w:rsidRPr="00AF7733">
        <w:rPr>
          <w:rFonts w:ascii="Verdana" w:hAnsi="Verdana"/>
          <w:sz w:val="22"/>
          <w:szCs w:val="22"/>
        </w:rPr>
        <w:t xml:space="preserve">can be collected </w:t>
      </w:r>
      <w:r w:rsidRPr="00AF7733">
        <w:rPr>
          <w:rFonts w:ascii="Verdana" w:hAnsi="Verdana"/>
          <w:sz w:val="22"/>
          <w:szCs w:val="22"/>
        </w:rPr>
        <w:t>on the impact of this change in services.</w:t>
      </w:r>
    </w:p>
    <w:p w14:paraId="4C2FF097" w14:textId="77777777" w:rsidR="00630AB0" w:rsidRPr="00AF7733" w:rsidRDefault="532C6B5B" w:rsidP="00630AB0">
      <w:pPr>
        <w:jc w:val="both"/>
        <w:rPr>
          <w:rFonts w:ascii="Verdana" w:hAnsi="Verdana"/>
          <w:sz w:val="22"/>
          <w:szCs w:val="22"/>
        </w:rPr>
      </w:pPr>
      <w:r w:rsidRPr="00AF7733">
        <w:rPr>
          <w:rFonts w:ascii="Verdana" w:hAnsi="Verdana"/>
          <w:sz w:val="22"/>
          <w:szCs w:val="22"/>
        </w:rPr>
        <w:t>In March 2024, NHS England released a call to action for integrated care boards (ICBs) to improve abortion care, following rising demands for termination of pregnancy services resulting in increased wait times for surgical abortions</w:t>
      </w:r>
      <w:r w:rsidR="00630AB0" w:rsidRPr="00AF7733">
        <w:rPr>
          <w:rStyle w:val="FootnoteReference"/>
          <w:rFonts w:ascii="Verdana" w:hAnsi="Verdana"/>
          <w:sz w:val="22"/>
          <w:szCs w:val="22"/>
        </w:rPr>
        <w:footnoteReference w:id="33"/>
      </w:r>
      <w:r w:rsidRPr="00AF7733">
        <w:rPr>
          <w:rFonts w:ascii="Verdana" w:hAnsi="Verdana"/>
          <w:sz w:val="22"/>
          <w:szCs w:val="22"/>
        </w:rPr>
        <w:t>. They also shared an example of good practice in Sussex where increasing access to contraception has been promoted as a preventative measure, using a whole-system approach to assessing population needs. This is discussed in greater detail at the end of the needs assessment.</w:t>
      </w:r>
    </w:p>
    <w:p w14:paraId="662DB901" w14:textId="77777777" w:rsidR="00630AB0" w:rsidRPr="00AF7733" w:rsidRDefault="527FAA70" w:rsidP="49636075">
      <w:pPr>
        <w:pStyle w:val="Heading2"/>
        <w:numPr>
          <w:ilvl w:val="0"/>
          <w:numId w:val="0"/>
        </w:numPr>
        <w:rPr>
          <w:rFonts w:ascii="Verdana" w:eastAsia="Verdana" w:hAnsi="Verdana" w:cs="Verdana"/>
          <w:sz w:val="22"/>
          <w:szCs w:val="22"/>
        </w:rPr>
      </w:pPr>
      <w:bookmarkStart w:id="8" w:name="_Toc1835443900"/>
      <w:r w:rsidRPr="136F3BEB">
        <w:rPr>
          <w:rFonts w:ascii="Verdana" w:hAnsi="Verdana"/>
          <w:sz w:val="22"/>
          <w:szCs w:val="22"/>
        </w:rPr>
        <w:lastRenderedPageBreak/>
        <w:t xml:space="preserve">2.1.7 </w:t>
      </w:r>
      <w:r w:rsidR="65B6788B" w:rsidRPr="136F3BEB">
        <w:rPr>
          <w:rFonts w:ascii="Verdana" w:eastAsia="Verdana" w:hAnsi="Verdana" w:cs="Verdana"/>
          <w:sz w:val="22"/>
          <w:szCs w:val="22"/>
        </w:rPr>
        <w:t>Expansion of the Pharmacy Contraception Service (PCS)</w:t>
      </w:r>
      <w:bookmarkEnd w:id="8"/>
    </w:p>
    <w:p w14:paraId="031F47A4" w14:textId="77777777" w:rsidR="00630AB0" w:rsidRPr="00AF7733" w:rsidRDefault="532C6B5B" w:rsidP="00630AB0">
      <w:pPr>
        <w:jc w:val="both"/>
        <w:rPr>
          <w:rFonts w:ascii="Verdana" w:hAnsi="Verdana"/>
          <w:sz w:val="22"/>
          <w:szCs w:val="22"/>
        </w:rPr>
      </w:pPr>
      <w:r w:rsidRPr="00AF7733">
        <w:rPr>
          <w:rFonts w:ascii="Verdana" w:hAnsi="Verdana"/>
          <w:sz w:val="22"/>
          <w:szCs w:val="22"/>
        </w:rPr>
        <w:t>In November 2023, it was announced by the Department of Health &amp; Social Care, that from December 2023, the PCS would expand to include initiation of oral contraception</w:t>
      </w:r>
      <w:r w:rsidR="00630AB0" w:rsidRPr="00AF7733">
        <w:rPr>
          <w:rStyle w:val="FootnoteReference"/>
          <w:rFonts w:ascii="Verdana" w:hAnsi="Verdana"/>
          <w:sz w:val="22"/>
          <w:szCs w:val="22"/>
        </w:rPr>
        <w:footnoteReference w:id="34"/>
      </w:r>
      <w:r w:rsidRPr="00AF7733">
        <w:rPr>
          <w:rFonts w:ascii="Verdana" w:hAnsi="Verdana"/>
          <w:sz w:val="22"/>
          <w:szCs w:val="22"/>
        </w:rPr>
        <w:t>, which could previously only be started within primary care or sexual health clinics. Individuals can self-refer, or be referred to the pharmacy from primary care, sexual health or another NHS service such as 111. If the pharmacy cannot meet the person’s contraception need</w:t>
      </w:r>
      <w:r w:rsidR="0DBE4A3F" w:rsidRPr="00AF7733">
        <w:rPr>
          <w:rFonts w:ascii="Verdana" w:hAnsi="Verdana"/>
          <w:sz w:val="22"/>
          <w:szCs w:val="22"/>
        </w:rPr>
        <w:t>,</w:t>
      </w:r>
      <w:r w:rsidRPr="00AF7733">
        <w:rPr>
          <w:rFonts w:ascii="Verdana" w:hAnsi="Verdana"/>
          <w:sz w:val="22"/>
          <w:szCs w:val="22"/>
        </w:rPr>
        <w:t xml:space="preserve"> they should be signposted to another pharmacy or service</w:t>
      </w:r>
      <w:r w:rsidR="00630AB0" w:rsidRPr="00AF7733">
        <w:rPr>
          <w:rStyle w:val="FootnoteReference"/>
          <w:rFonts w:ascii="Verdana" w:hAnsi="Verdana"/>
          <w:sz w:val="22"/>
          <w:szCs w:val="22"/>
        </w:rPr>
        <w:footnoteReference w:id="35"/>
      </w:r>
      <w:r w:rsidRPr="00AF7733">
        <w:rPr>
          <w:rFonts w:ascii="Verdana" w:hAnsi="Verdana"/>
          <w:sz w:val="22"/>
          <w:szCs w:val="22"/>
        </w:rPr>
        <w:t>.</w:t>
      </w:r>
    </w:p>
    <w:p w14:paraId="620BFDBF" w14:textId="77777777" w:rsidR="00630AB0" w:rsidRPr="00AF7733" w:rsidRDefault="532C6B5B" w:rsidP="00630AB0">
      <w:pPr>
        <w:jc w:val="both"/>
        <w:rPr>
          <w:rFonts w:ascii="Verdana" w:hAnsi="Verdana"/>
          <w:sz w:val="22"/>
          <w:szCs w:val="22"/>
        </w:rPr>
      </w:pPr>
      <w:r w:rsidRPr="00AF7733">
        <w:rPr>
          <w:rFonts w:ascii="Verdana" w:hAnsi="Verdana"/>
          <w:sz w:val="22"/>
          <w:szCs w:val="22"/>
        </w:rPr>
        <w:t>The aim of this expansion was to enable greater choice and access to help address health inequalities, and to create additional capacity in primary care and sexual health clinics for those requiring more complex care</w:t>
      </w:r>
      <w:r w:rsidR="00630AB0" w:rsidRPr="00AF7733">
        <w:rPr>
          <w:rStyle w:val="FootnoteReference"/>
          <w:rFonts w:ascii="Verdana" w:hAnsi="Verdana"/>
          <w:sz w:val="22"/>
          <w:szCs w:val="22"/>
        </w:rPr>
        <w:footnoteReference w:id="36"/>
      </w:r>
      <w:r w:rsidRPr="00AF7733">
        <w:rPr>
          <w:rFonts w:ascii="Verdana" w:hAnsi="Verdana"/>
          <w:sz w:val="22"/>
          <w:szCs w:val="22"/>
        </w:rPr>
        <w:t>.</w:t>
      </w:r>
    </w:p>
    <w:p w14:paraId="011277D0" w14:textId="77777777" w:rsidR="00630AB0" w:rsidRPr="00AF7733" w:rsidRDefault="55722647" w:rsidP="49636075">
      <w:pPr>
        <w:pStyle w:val="Heading2"/>
        <w:numPr>
          <w:ilvl w:val="0"/>
          <w:numId w:val="0"/>
        </w:numPr>
        <w:rPr>
          <w:rFonts w:ascii="Verdana" w:eastAsia="Verdana" w:hAnsi="Verdana" w:cs="Verdana"/>
          <w:sz w:val="22"/>
          <w:szCs w:val="22"/>
        </w:rPr>
      </w:pPr>
      <w:bookmarkStart w:id="9" w:name="_Toc1997977976"/>
      <w:r w:rsidRPr="136F3BEB">
        <w:rPr>
          <w:rFonts w:ascii="Verdana" w:hAnsi="Verdana"/>
          <w:sz w:val="22"/>
          <w:szCs w:val="22"/>
        </w:rPr>
        <w:t xml:space="preserve">2.1.8 </w:t>
      </w:r>
      <w:r w:rsidR="65B6788B" w:rsidRPr="136F3BEB">
        <w:rPr>
          <w:rFonts w:ascii="Verdana" w:eastAsia="Verdana" w:hAnsi="Verdana" w:cs="Verdana"/>
          <w:sz w:val="22"/>
          <w:szCs w:val="22"/>
        </w:rPr>
        <w:t>Extension of the licence for the Mirena intra-uterine device (IUD)</w:t>
      </w:r>
      <w:bookmarkEnd w:id="9"/>
    </w:p>
    <w:p w14:paraId="3C8B0E80" w14:textId="77777777" w:rsidR="00630AB0" w:rsidRPr="00AF7733" w:rsidRDefault="532C6B5B" w:rsidP="00630AB0">
      <w:pPr>
        <w:jc w:val="both"/>
        <w:rPr>
          <w:rFonts w:ascii="Verdana" w:hAnsi="Verdana"/>
          <w:sz w:val="22"/>
          <w:szCs w:val="22"/>
        </w:rPr>
      </w:pPr>
      <w:r w:rsidRPr="00AF7733">
        <w:rPr>
          <w:rFonts w:ascii="Verdana" w:hAnsi="Verdana"/>
          <w:sz w:val="22"/>
          <w:szCs w:val="22"/>
        </w:rPr>
        <w:t>In January 2024, the UK Medicines Health Regulatory Authority (MHRA) approved an extension to the Mirena licence from 5 years to 8 years for contraception</w:t>
      </w:r>
      <w:r w:rsidR="00630AB0" w:rsidRPr="00AF7733">
        <w:rPr>
          <w:rStyle w:val="FootnoteReference"/>
          <w:rFonts w:ascii="Verdana" w:hAnsi="Verdana"/>
          <w:sz w:val="22"/>
          <w:szCs w:val="22"/>
        </w:rPr>
        <w:footnoteReference w:id="37"/>
      </w:r>
      <w:r w:rsidRPr="00AF7733">
        <w:rPr>
          <w:rFonts w:ascii="Verdana" w:hAnsi="Verdana"/>
          <w:sz w:val="22"/>
          <w:szCs w:val="22"/>
        </w:rPr>
        <w:t>. The licensed duration of use for management of heavy menstrual bleeding and for endometrial protection with hormone replacement therapy (HRT) has stayed the same.</w:t>
      </w:r>
    </w:p>
    <w:p w14:paraId="3DB81739" w14:textId="77777777" w:rsidR="00630AB0" w:rsidRPr="00AF7733" w:rsidRDefault="4EA55C7D" w:rsidP="49636075">
      <w:pPr>
        <w:pStyle w:val="Heading2"/>
        <w:numPr>
          <w:ilvl w:val="0"/>
          <w:numId w:val="0"/>
        </w:numPr>
        <w:rPr>
          <w:rFonts w:ascii="Verdana" w:eastAsia="Verdana" w:hAnsi="Verdana" w:cs="Verdana"/>
          <w:sz w:val="22"/>
          <w:szCs w:val="22"/>
        </w:rPr>
      </w:pPr>
      <w:bookmarkStart w:id="10" w:name="_Toc1032766593"/>
      <w:r w:rsidRPr="136F3BEB">
        <w:rPr>
          <w:rFonts w:ascii="Verdana" w:hAnsi="Verdana"/>
          <w:sz w:val="22"/>
          <w:szCs w:val="22"/>
        </w:rPr>
        <w:t xml:space="preserve">2.1.9 </w:t>
      </w:r>
      <w:r w:rsidR="65B6788B" w:rsidRPr="136F3BEB">
        <w:rPr>
          <w:rFonts w:ascii="Verdana" w:eastAsia="Verdana" w:hAnsi="Verdana" w:cs="Verdana"/>
          <w:sz w:val="22"/>
          <w:szCs w:val="22"/>
        </w:rPr>
        <w:t>Mpox outbreak</w:t>
      </w:r>
      <w:bookmarkEnd w:id="10"/>
    </w:p>
    <w:p w14:paraId="5A5FB907" w14:textId="77777777" w:rsidR="00630AB0" w:rsidRPr="00AF7733" w:rsidRDefault="532C6B5B" w:rsidP="00630AB0">
      <w:pPr>
        <w:jc w:val="both"/>
        <w:rPr>
          <w:rFonts w:ascii="Verdana" w:hAnsi="Verdana"/>
          <w:sz w:val="22"/>
          <w:szCs w:val="22"/>
        </w:rPr>
      </w:pPr>
      <w:r w:rsidRPr="00AF7733">
        <w:rPr>
          <w:rFonts w:ascii="Verdana" w:hAnsi="Verdana"/>
          <w:sz w:val="22"/>
          <w:szCs w:val="22"/>
        </w:rPr>
        <w:t>In May 2022, rising cases of Mpox (formerly called monkeypox) were seen in the UK, the majority of which occurred in gay, bisexual, and other men who have sex with men (GBMSM) who had not travelled to endemic countries</w:t>
      </w:r>
      <w:r w:rsidR="00630AB0" w:rsidRPr="00AF7733">
        <w:rPr>
          <w:rStyle w:val="FootnoteReference"/>
          <w:rFonts w:ascii="Verdana" w:hAnsi="Verdana"/>
          <w:sz w:val="22"/>
          <w:szCs w:val="22"/>
        </w:rPr>
        <w:footnoteReference w:id="38"/>
      </w:r>
      <w:r w:rsidRPr="00AF7733">
        <w:rPr>
          <w:rFonts w:ascii="Verdana" w:hAnsi="Verdana"/>
          <w:sz w:val="22"/>
          <w:szCs w:val="22"/>
        </w:rPr>
        <w:t>. Prior to this, most cases in the UK were associated with travel. Although most cases were in London residents, cases were found throughout the UK as a result of direct person-to-person transmission</w:t>
      </w:r>
      <w:r w:rsidR="2F24BDA3" w:rsidRPr="00AF7733">
        <w:rPr>
          <w:rFonts w:ascii="Verdana" w:hAnsi="Verdana"/>
          <w:sz w:val="22"/>
          <w:szCs w:val="22"/>
          <w:vertAlign w:val="superscript"/>
        </w:rPr>
        <w:t>42</w:t>
      </w:r>
      <w:r w:rsidRPr="00AF7733">
        <w:rPr>
          <w:rFonts w:ascii="Verdana" w:hAnsi="Verdana"/>
          <w:sz w:val="22"/>
          <w:szCs w:val="22"/>
        </w:rPr>
        <w:t xml:space="preserve"> . In June 2022, the Joint Committee on Vaccination and Immunisation (JCVI) advised that the smallpox vaccine (which provides cross-protection against mpox) should be given to GBMSM at highest risk, identified by clinicians at sexual health services</w:t>
      </w:r>
      <w:r w:rsidR="00630AB0" w:rsidRPr="00AF7733">
        <w:rPr>
          <w:rStyle w:val="FootnoteReference"/>
          <w:rFonts w:ascii="Verdana" w:hAnsi="Verdana"/>
          <w:sz w:val="22"/>
          <w:szCs w:val="22"/>
        </w:rPr>
        <w:footnoteReference w:id="39"/>
      </w:r>
      <w:r w:rsidRPr="00AF7733">
        <w:rPr>
          <w:rFonts w:ascii="Verdana" w:hAnsi="Verdana"/>
          <w:sz w:val="22"/>
          <w:szCs w:val="22"/>
        </w:rPr>
        <w:t xml:space="preserve">. </w:t>
      </w:r>
    </w:p>
    <w:p w14:paraId="254A1AC9" w14:textId="77777777" w:rsidR="00630AB0" w:rsidRPr="00AF7733" w:rsidRDefault="532C6B5B" w:rsidP="00630AB0">
      <w:pPr>
        <w:jc w:val="both"/>
        <w:rPr>
          <w:rFonts w:ascii="Verdana" w:hAnsi="Verdana"/>
          <w:sz w:val="22"/>
          <w:szCs w:val="22"/>
        </w:rPr>
      </w:pPr>
      <w:r w:rsidRPr="00AF7733">
        <w:rPr>
          <w:rFonts w:ascii="Verdana" w:hAnsi="Verdana"/>
          <w:sz w:val="22"/>
          <w:szCs w:val="22"/>
        </w:rPr>
        <w:t>The management of symptoms of Mpox, and later vaccination largely took place within sexual health services. As a result, services had to quickly adapt, redesign services and clinical pathways and ensure staff had appropriate infection prevention and control measures in place</w:t>
      </w:r>
      <w:r w:rsidR="00630AB0" w:rsidRPr="00AF7733">
        <w:rPr>
          <w:rStyle w:val="FootnoteReference"/>
          <w:rFonts w:ascii="Verdana" w:hAnsi="Verdana"/>
          <w:sz w:val="22"/>
          <w:szCs w:val="22"/>
        </w:rPr>
        <w:footnoteReference w:id="40"/>
      </w:r>
      <w:r w:rsidRPr="00AF7733">
        <w:rPr>
          <w:rFonts w:ascii="Verdana" w:hAnsi="Verdana"/>
          <w:sz w:val="22"/>
          <w:szCs w:val="22"/>
        </w:rPr>
        <w:t xml:space="preserve">. </w:t>
      </w:r>
      <w:r w:rsidR="3C566F8D">
        <w:rPr>
          <w:rFonts w:ascii="Verdana" w:hAnsi="Verdana"/>
          <w:sz w:val="22"/>
          <w:szCs w:val="22"/>
        </w:rPr>
        <w:t>They had to work at speed to enable swift rollout of the vaccination for this.</w:t>
      </w:r>
      <w:r w:rsidRPr="00AF7733">
        <w:rPr>
          <w:rFonts w:ascii="Verdana" w:hAnsi="Verdana"/>
          <w:sz w:val="22"/>
          <w:szCs w:val="22"/>
        </w:rPr>
        <w:t xml:space="preserve"> This placed additional demand and </w:t>
      </w:r>
      <w:r w:rsidRPr="00AF7733">
        <w:rPr>
          <w:rFonts w:ascii="Verdana" w:hAnsi="Verdana"/>
          <w:sz w:val="22"/>
          <w:szCs w:val="22"/>
        </w:rPr>
        <w:lastRenderedPageBreak/>
        <w:t>pressure on sexual health services that were already at maximum capacity and demonstrated the need for longer term preparation for future infectious disease outbreaks</w:t>
      </w:r>
      <w:r w:rsidR="00630AB0" w:rsidRPr="00AF7733">
        <w:rPr>
          <w:rStyle w:val="FootnoteReference"/>
          <w:rFonts w:ascii="Verdana" w:hAnsi="Verdana"/>
          <w:sz w:val="22"/>
          <w:szCs w:val="22"/>
        </w:rPr>
        <w:footnoteReference w:id="41"/>
      </w:r>
      <w:r w:rsidRPr="00AF7733">
        <w:rPr>
          <w:rFonts w:ascii="Verdana" w:hAnsi="Verdana"/>
          <w:sz w:val="22"/>
          <w:szCs w:val="22"/>
        </w:rPr>
        <w:t xml:space="preserve">. </w:t>
      </w:r>
      <w:r w:rsidR="3C566F8D">
        <w:rPr>
          <w:rFonts w:ascii="Verdana" w:hAnsi="Verdana"/>
          <w:sz w:val="22"/>
          <w:szCs w:val="22"/>
        </w:rPr>
        <w:t>Local teams have been working together to gather lessons from this experience, and build in proactive plans for solidifying our approach, as well as ensuring preparedness for future</w:t>
      </w:r>
      <w:r w:rsidR="3CC7AB74">
        <w:rPr>
          <w:rFonts w:ascii="Verdana" w:hAnsi="Verdana"/>
          <w:sz w:val="22"/>
          <w:szCs w:val="22"/>
        </w:rPr>
        <w:t xml:space="preserve"> recurrence</w:t>
      </w:r>
      <w:r w:rsidR="3C566F8D">
        <w:rPr>
          <w:rFonts w:ascii="Verdana" w:hAnsi="Verdana"/>
          <w:sz w:val="22"/>
          <w:szCs w:val="22"/>
        </w:rPr>
        <w:t xml:space="preserve">. </w:t>
      </w:r>
    </w:p>
    <w:p w14:paraId="26F2514F" w14:textId="77777777" w:rsidR="007321A8" w:rsidRDefault="3CC7AB74" w:rsidP="007321A8">
      <w:pPr>
        <w:jc w:val="both"/>
        <w:rPr>
          <w:rFonts w:ascii="Verdana" w:hAnsi="Verdana"/>
          <w:sz w:val="22"/>
          <w:szCs w:val="22"/>
        </w:rPr>
      </w:pPr>
      <w:r>
        <w:rPr>
          <w:rFonts w:ascii="Verdana" w:hAnsi="Verdana"/>
          <w:sz w:val="22"/>
          <w:szCs w:val="22"/>
        </w:rPr>
        <w:t>These efforts and learning has been helpful, because o</w:t>
      </w:r>
      <w:r w:rsidR="58EAA17A" w:rsidRPr="00AF7733">
        <w:rPr>
          <w:rFonts w:ascii="Verdana" w:hAnsi="Verdana"/>
          <w:sz w:val="22"/>
          <w:szCs w:val="22"/>
        </w:rPr>
        <w:t xml:space="preserve">n the </w:t>
      </w:r>
      <w:r w:rsidR="253618D5" w:rsidRPr="00AF7733">
        <w:rPr>
          <w:rFonts w:ascii="Verdana" w:hAnsi="Verdana"/>
          <w:sz w:val="22"/>
          <w:szCs w:val="22"/>
        </w:rPr>
        <w:t>15</w:t>
      </w:r>
      <w:r w:rsidR="253618D5" w:rsidRPr="00AF7733">
        <w:rPr>
          <w:rFonts w:ascii="Verdana" w:hAnsi="Verdana"/>
          <w:sz w:val="22"/>
          <w:szCs w:val="22"/>
          <w:vertAlign w:val="superscript"/>
        </w:rPr>
        <w:t>th</w:t>
      </w:r>
      <w:r w:rsidR="253618D5" w:rsidRPr="00AF7733">
        <w:rPr>
          <w:rFonts w:ascii="Verdana" w:hAnsi="Verdana"/>
          <w:sz w:val="22"/>
          <w:szCs w:val="22"/>
        </w:rPr>
        <w:t xml:space="preserve"> of </w:t>
      </w:r>
      <w:r w:rsidR="58EAA17A" w:rsidRPr="00AF7733">
        <w:rPr>
          <w:rFonts w:ascii="Verdana" w:hAnsi="Verdana"/>
          <w:sz w:val="22"/>
          <w:szCs w:val="22"/>
        </w:rPr>
        <w:t xml:space="preserve">August 2024, the World Health Organisation </w:t>
      </w:r>
      <w:r w:rsidR="6B36988B" w:rsidRPr="00AF7733">
        <w:rPr>
          <w:rFonts w:ascii="Verdana" w:hAnsi="Verdana"/>
          <w:sz w:val="22"/>
          <w:szCs w:val="22"/>
        </w:rPr>
        <w:t xml:space="preserve">(WHO) </w:t>
      </w:r>
      <w:r w:rsidR="58EAA17A" w:rsidRPr="00AF7733">
        <w:rPr>
          <w:rFonts w:ascii="Verdana" w:hAnsi="Verdana"/>
          <w:sz w:val="22"/>
          <w:szCs w:val="22"/>
        </w:rPr>
        <w:t>declared a public health emergency of international concern</w:t>
      </w:r>
      <w:r w:rsidR="00245AAD" w:rsidRPr="00AF7733">
        <w:rPr>
          <w:rStyle w:val="FootnoteReference"/>
          <w:rFonts w:ascii="Verdana" w:hAnsi="Verdana"/>
          <w:sz w:val="22"/>
          <w:szCs w:val="22"/>
        </w:rPr>
        <w:footnoteReference w:id="42"/>
      </w:r>
      <w:r>
        <w:rPr>
          <w:rFonts w:ascii="Verdana" w:hAnsi="Verdana"/>
          <w:sz w:val="22"/>
          <w:szCs w:val="22"/>
        </w:rPr>
        <w:t xml:space="preserve"> relating to Mpox and on </w:t>
      </w:r>
      <w:r w:rsidR="77CFB1AA">
        <w:rPr>
          <w:rFonts w:ascii="Verdana" w:hAnsi="Verdana"/>
          <w:sz w:val="22"/>
          <w:szCs w:val="22"/>
        </w:rPr>
        <w:t>6</w:t>
      </w:r>
      <w:r w:rsidRPr="00563AFC">
        <w:rPr>
          <w:rFonts w:ascii="Verdana" w:hAnsi="Verdana"/>
          <w:sz w:val="22"/>
          <w:szCs w:val="22"/>
          <w:vertAlign w:val="superscript"/>
        </w:rPr>
        <w:t>th</w:t>
      </w:r>
      <w:r>
        <w:rPr>
          <w:rFonts w:ascii="Verdana" w:hAnsi="Verdana"/>
          <w:sz w:val="22"/>
          <w:szCs w:val="22"/>
        </w:rPr>
        <w:t xml:space="preserve"> October 2024 t</w:t>
      </w:r>
      <w:r w:rsidRPr="00563AFC">
        <w:rPr>
          <w:rFonts w:ascii="Verdana" w:hAnsi="Verdana"/>
          <w:sz w:val="22"/>
          <w:szCs w:val="22"/>
        </w:rPr>
        <w:t xml:space="preserve">he UK Health Security Agency (UKHSA) </w:t>
      </w:r>
      <w:r>
        <w:rPr>
          <w:rFonts w:ascii="Verdana" w:hAnsi="Verdana"/>
          <w:sz w:val="22"/>
          <w:szCs w:val="22"/>
        </w:rPr>
        <w:t xml:space="preserve">reported the detection of </w:t>
      </w:r>
      <w:r w:rsidRPr="00563AFC">
        <w:rPr>
          <w:rFonts w:ascii="Verdana" w:hAnsi="Verdana"/>
          <w:sz w:val="22"/>
          <w:szCs w:val="22"/>
        </w:rPr>
        <w:t xml:space="preserve">a </w:t>
      </w:r>
      <w:r w:rsidR="77CFB1AA">
        <w:rPr>
          <w:rFonts w:ascii="Verdana" w:hAnsi="Verdana"/>
          <w:sz w:val="22"/>
          <w:szCs w:val="22"/>
        </w:rPr>
        <w:t>fourth</w:t>
      </w:r>
      <w:r w:rsidRPr="00563AFC">
        <w:rPr>
          <w:rFonts w:ascii="Verdana" w:hAnsi="Verdana"/>
          <w:sz w:val="22"/>
          <w:szCs w:val="22"/>
        </w:rPr>
        <w:t xml:space="preserve"> confirmed human case of Clade </w:t>
      </w:r>
      <w:proofErr w:type="spellStart"/>
      <w:r w:rsidRPr="00563AFC">
        <w:rPr>
          <w:rFonts w:ascii="Verdana" w:hAnsi="Verdana"/>
          <w:sz w:val="22"/>
          <w:szCs w:val="22"/>
        </w:rPr>
        <w:t>Ib</w:t>
      </w:r>
      <w:proofErr w:type="spellEnd"/>
      <w:r w:rsidRPr="00563AFC">
        <w:rPr>
          <w:rFonts w:ascii="Verdana" w:hAnsi="Verdana"/>
          <w:sz w:val="22"/>
          <w:szCs w:val="22"/>
        </w:rPr>
        <w:t xml:space="preserve"> </w:t>
      </w:r>
      <w:r w:rsidR="04871D59">
        <w:rPr>
          <w:rFonts w:ascii="Verdana" w:hAnsi="Verdana"/>
          <w:sz w:val="22"/>
          <w:szCs w:val="22"/>
        </w:rPr>
        <w:t>M</w:t>
      </w:r>
      <w:r w:rsidRPr="00563AFC">
        <w:rPr>
          <w:rFonts w:ascii="Verdana" w:hAnsi="Verdana"/>
          <w:sz w:val="22"/>
          <w:szCs w:val="22"/>
        </w:rPr>
        <w:t>pox</w:t>
      </w:r>
      <w:r>
        <w:rPr>
          <w:rFonts w:ascii="Verdana" w:hAnsi="Verdana"/>
          <w:sz w:val="22"/>
          <w:szCs w:val="22"/>
        </w:rPr>
        <w:t xml:space="preserve"> in </w:t>
      </w:r>
      <w:r w:rsidR="77CFB1AA">
        <w:rPr>
          <w:rFonts w:ascii="Verdana" w:hAnsi="Verdana"/>
          <w:sz w:val="22"/>
          <w:szCs w:val="22"/>
        </w:rPr>
        <w:t xml:space="preserve">London, </w:t>
      </w:r>
      <w:r>
        <w:rPr>
          <w:rFonts w:ascii="Verdana" w:hAnsi="Verdana"/>
          <w:sz w:val="22"/>
          <w:szCs w:val="22"/>
        </w:rPr>
        <w:t>England</w:t>
      </w:r>
      <w:r w:rsidR="44DAE0CA" w:rsidRPr="00AF7733">
        <w:rPr>
          <w:rFonts w:ascii="Verdana" w:hAnsi="Verdana"/>
          <w:sz w:val="22"/>
          <w:szCs w:val="22"/>
        </w:rPr>
        <w:t>. Th</w:t>
      </w:r>
      <w:r>
        <w:rPr>
          <w:rFonts w:ascii="Verdana" w:hAnsi="Verdana"/>
          <w:sz w:val="22"/>
          <w:szCs w:val="22"/>
        </w:rPr>
        <w:t xml:space="preserve">e risk to the UK population remains low but the situation </w:t>
      </w:r>
      <w:r w:rsidR="44DAE0CA" w:rsidRPr="00AF7733">
        <w:rPr>
          <w:rFonts w:ascii="Verdana" w:hAnsi="Verdana"/>
          <w:sz w:val="22"/>
          <w:szCs w:val="22"/>
        </w:rPr>
        <w:t xml:space="preserve">will be monitored </w:t>
      </w:r>
      <w:r>
        <w:rPr>
          <w:rFonts w:ascii="Verdana" w:hAnsi="Verdana"/>
          <w:sz w:val="22"/>
          <w:szCs w:val="22"/>
        </w:rPr>
        <w:t xml:space="preserve">and </w:t>
      </w:r>
      <w:r w:rsidR="44DAE0CA" w:rsidRPr="00AF7733">
        <w:rPr>
          <w:rFonts w:ascii="Verdana" w:hAnsi="Verdana"/>
          <w:sz w:val="22"/>
          <w:szCs w:val="22"/>
        </w:rPr>
        <w:t>calls to action for Kent integrated sexual health services (ISHS)</w:t>
      </w:r>
      <w:r>
        <w:rPr>
          <w:rFonts w:ascii="Verdana" w:hAnsi="Verdana"/>
          <w:sz w:val="22"/>
          <w:szCs w:val="22"/>
        </w:rPr>
        <w:t xml:space="preserve"> held in readiness </w:t>
      </w:r>
      <w:r w:rsidR="44DAE0CA" w:rsidRPr="00AF7733">
        <w:rPr>
          <w:rFonts w:ascii="Verdana" w:hAnsi="Verdana"/>
          <w:sz w:val="22"/>
          <w:szCs w:val="22"/>
        </w:rPr>
        <w:t xml:space="preserve">using lessons learned from 2022 to monitor potential impacts. </w:t>
      </w:r>
    </w:p>
    <w:p w14:paraId="392617B2" w14:textId="2F9E9BF4" w:rsidR="00933EEB" w:rsidRPr="00AF7733" w:rsidRDefault="42FD9F38" w:rsidP="007321A8">
      <w:pPr>
        <w:jc w:val="both"/>
        <w:rPr>
          <w:rFonts w:ascii="Verdana" w:hAnsi="Verdana"/>
          <w:sz w:val="22"/>
          <w:szCs w:val="22"/>
        </w:rPr>
      </w:pPr>
      <w:r w:rsidRPr="00AF7733">
        <w:rPr>
          <w:rFonts w:ascii="Verdana" w:hAnsi="Verdana"/>
          <w:sz w:val="22"/>
          <w:szCs w:val="22"/>
        </w:rPr>
        <w:t xml:space="preserve">KCC </w:t>
      </w:r>
      <w:r w:rsidR="4EF49036" w:rsidRPr="00AF7733">
        <w:rPr>
          <w:rFonts w:ascii="Verdana" w:hAnsi="Verdana"/>
          <w:sz w:val="22"/>
          <w:szCs w:val="22"/>
        </w:rPr>
        <w:t xml:space="preserve">and sexual health providers </w:t>
      </w:r>
      <w:r w:rsidRPr="00AF7733">
        <w:rPr>
          <w:rFonts w:ascii="Verdana" w:hAnsi="Verdana"/>
          <w:sz w:val="22"/>
          <w:szCs w:val="22"/>
        </w:rPr>
        <w:t>continue to work with UKHSA</w:t>
      </w:r>
      <w:r w:rsidR="2AD3DC82" w:rsidRPr="00AF7733">
        <w:rPr>
          <w:rFonts w:ascii="Verdana" w:hAnsi="Verdana"/>
          <w:sz w:val="22"/>
          <w:szCs w:val="22"/>
        </w:rPr>
        <w:t>,</w:t>
      </w:r>
      <w:r w:rsidRPr="00AF7733">
        <w:rPr>
          <w:rFonts w:ascii="Verdana" w:hAnsi="Verdana"/>
          <w:sz w:val="22"/>
          <w:szCs w:val="22"/>
        </w:rPr>
        <w:t xml:space="preserve"> who lead on health protection in the UK</w:t>
      </w:r>
      <w:r w:rsidR="249F7E60" w:rsidRPr="00AF7733">
        <w:rPr>
          <w:rFonts w:ascii="Verdana" w:hAnsi="Verdana"/>
          <w:sz w:val="22"/>
          <w:szCs w:val="22"/>
        </w:rPr>
        <w:t xml:space="preserve">, </w:t>
      </w:r>
      <w:r w:rsidR="00F42E4B" w:rsidRPr="00AF7733">
        <w:rPr>
          <w:rFonts w:ascii="Verdana" w:hAnsi="Verdana"/>
          <w:sz w:val="22"/>
          <w:szCs w:val="22"/>
        </w:rPr>
        <w:t>alongside</w:t>
      </w:r>
      <w:r w:rsidR="249F7E60" w:rsidRPr="00AF7733">
        <w:rPr>
          <w:rFonts w:ascii="Verdana" w:hAnsi="Verdana"/>
          <w:sz w:val="22"/>
          <w:szCs w:val="22"/>
        </w:rPr>
        <w:t xml:space="preserve"> KCC’s consultant lead for health protection. </w:t>
      </w:r>
      <w:r w:rsidR="007321A8">
        <w:rPr>
          <w:rFonts w:ascii="Verdana" w:hAnsi="Verdana"/>
          <w:sz w:val="22"/>
          <w:szCs w:val="22"/>
        </w:rPr>
        <w:t xml:space="preserve">Proactive communications led from the UKHSA are supported by KCC, and targeted vaccination programmes are being rolled out to the following groups; </w:t>
      </w:r>
      <w:r w:rsidR="007321A8" w:rsidRPr="007321A8">
        <w:rPr>
          <w:rFonts w:ascii="Verdana" w:hAnsi="Verdana"/>
          <w:sz w:val="22"/>
          <w:szCs w:val="22"/>
        </w:rPr>
        <w:t>Gay, bisexual and MSM</w:t>
      </w:r>
      <w:r w:rsidR="007321A8">
        <w:rPr>
          <w:rFonts w:ascii="Verdana" w:hAnsi="Verdana"/>
          <w:sz w:val="22"/>
          <w:szCs w:val="22"/>
        </w:rPr>
        <w:t xml:space="preserve">, </w:t>
      </w:r>
      <w:r w:rsidR="007321A8" w:rsidRPr="007321A8">
        <w:rPr>
          <w:rFonts w:ascii="Verdana" w:hAnsi="Verdana"/>
          <w:sz w:val="22"/>
          <w:szCs w:val="22"/>
        </w:rPr>
        <w:t>certain healthcare workers</w:t>
      </w:r>
      <w:r w:rsidR="007321A8">
        <w:rPr>
          <w:rFonts w:ascii="Verdana" w:hAnsi="Verdana"/>
          <w:sz w:val="22"/>
          <w:szCs w:val="22"/>
        </w:rPr>
        <w:t xml:space="preserve">, </w:t>
      </w:r>
      <w:r w:rsidR="007321A8" w:rsidRPr="007321A8">
        <w:rPr>
          <w:rFonts w:ascii="Verdana" w:hAnsi="Verdana"/>
          <w:sz w:val="22"/>
          <w:szCs w:val="22"/>
        </w:rPr>
        <w:t>specialist healthcare workers and humanitarian workers</w:t>
      </w:r>
      <w:r w:rsidR="007321A8">
        <w:rPr>
          <w:rFonts w:ascii="Verdana" w:hAnsi="Verdana"/>
          <w:sz w:val="22"/>
          <w:szCs w:val="22"/>
        </w:rPr>
        <w:t xml:space="preserve">, </w:t>
      </w:r>
      <w:r w:rsidR="007321A8" w:rsidRPr="007321A8">
        <w:rPr>
          <w:rFonts w:ascii="Verdana" w:hAnsi="Verdana"/>
          <w:sz w:val="22"/>
          <w:szCs w:val="22"/>
        </w:rPr>
        <w:t>close contacts of a confirmed case</w:t>
      </w:r>
      <w:r w:rsidR="007321A8">
        <w:rPr>
          <w:rFonts w:ascii="Verdana" w:hAnsi="Verdana"/>
          <w:sz w:val="22"/>
          <w:szCs w:val="22"/>
        </w:rPr>
        <w:t xml:space="preserve">. </w:t>
      </w:r>
    </w:p>
    <w:p w14:paraId="0567D2E5" w14:textId="77777777" w:rsidR="00630AB0" w:rsidRPr="00AF7733" w:rsidRDefault="37D8CBE4" w:rsidP="49636075">
      <w:pPr>
        <w:pStyle w:val="Heading2"/>
        <w:numPr>
          <w:ilvl w:val="0"/>
          <w:numId w:val="0"/>
        </w:numPr>
        <w:rPr>
          <w:rFonts w:ascii="Verdana" w:eastAsia="Verdana" w:hAnsi="Verdana" w:cs="Verdana"/>
          <w:sz w:val="22"/>
          <w:szCs w:val="22"/>
        </w:rPr>
      </w:pPr>
      <w:bookmarkStart w:id="11" w:name="_Toc882124799"/>
      <w:r w:rsidRPr="136F3BEB">
        <w:rPr>
          <w:rFonts w:ascii="Verdana" w:hAnsi="Verdana"/>
          <w:sz w:val="22"/>
          <w:szCs w:val="22"/>
        </w:rPr>
        <w:t xml:space="preserve">2.1.10 </w:t>
      </w:r>
      <w:r w:rsidR="65B6788B" w:rsidRPr="136F3BEB">
        <w:rPr>
          <w:rFonts w:ascii="Verdana" w:eastAsia="Verdana" w:hAnsi="Verdana" w:cs="Verdana"/>
          <w:sz w:val="22"/>
          <w:szCs w:val="22"/>
        </w:rPr>
        <w:t>Funding for Sexual Health Services</w:t>
      </w:r>
      <w:bookmarkEnd w:id="11"/>
    </w:p>
    <w:p w14:paraId="7B125CC0" w14:textId="77777777" w:rsidR="00630AB0" w:rsidRPr="008D6AC4" w:rsidRDefault="532C6B5B" w:rsidP="00630AB0">
      <w:pPr>
        <w:jc w:val="both"/>
        <w:rPr>
          <w:rFonts w:ascii="Verdana" w:hAnsi="Verdana"/>
          <w:sz w:val="22"/>
          <w:szCs w:val="22"/>
        </w:rPr>
      </w:pPr>
      <w:r w:rsidRPr="00AF7733">
        <w:rPr>
          <w:rFonts w:ascii="Verdana" w:hAnsi="Verdana"/>
          <w:sz w:val="22"/>
          <w:szCs w:val="22"/>
        </w:rPr>
        <w:t xml:space="preserve">Since 2015/16 the public health grant paid to local authorities from the Department for Health and Social Care (DHSC) has faced a cut of 28% (on a </w:t>
      </w:r>
      <w:r w:rsidR="05D9721D" w:rsidRPr="00AF7733">
        <w:rPr>
          <w:rFonts w:ascii="Verdana" w:hAnsi="Verdana"/>
          <w:sz w:val="22"/>
          <w:szCs w:val="22"/>
        </w:rPr>
        <w:t>real terms</w:t>
      </w:r>
      <w:r w:rsidRPr="00AF7733">
        <w:rPr>
          <w:rFonts w:ascii="Verdana" w:hAnsi="Verdana"/>
          <w:sz w:val="22"/>
          <w:szCs w:val="22"/>
        </w:rPr>
        <w:t xml:space="preserve"> per person basis)</w:t>
      </w:r>
      <w:r w:rsidR="00630AB0" w:rsidRPr="00AF7733">
        <w:rPr>
          <w:rStyle w:val="FootnoteReference"/>
          <w:rFonts w:ascii="Verdana" w:hAnsi="Verdana"/>
          <w:sz w:val="22"/>
          <w:szCs w:val="22"/>
        </w:rPr>
        <w:footnoteReference w:id="43"/>
      </w:r>
      <w:r w:rsidRPr="00AF7733">
        <w:rPr>
          <w:rFonts w:ascii="Verdana" w:hAnsi="Verdana"/>
          <w:sz w:val="22"/>
          <w:szCs w:val="22"/>
        </w:rPr>
        <w:t xml:space="preserve">. This had led to </w:t>
      </w:r>
      <w:r w:rsidR="3CC7AB74">
        <w:rPr>
          <w:rFonts w:ascii="Verdana" w:hAnsi="Verdana"/>
          <w:sz w:val="22"/>
          <w:szCs w:val="22"/>
        </w:rPr>
        <w:t xml:space="preserve">national </w:t>
      </w:r>
      <w:r w:rsidRPr="00AF7733">
        <w:rPr>
          <w:rFonts w:ascii="Verdana" w:hAnsi="Verdana"/>
          <w:sz w:val="22"/>
          <w:szCs w:val="22"/>
        </w:rPr>
        <w:t>reductions in spending</w:t>
      </w:r>
      <w:r w:rsidR="5124DCE4">
        <w:rPr>
          <w:rFonts w:ascii="Verdana" w:hAnsi="Verdana"/>
          <w:sz w:val="22"/>
          <w:szCs w:val="22"/>
        </w:rPr>
        <w:t xml:space="preserve"> linked to policy changes</w:t>
      </w:r>
      <w:r w:rsidRPr="00AF7733">
        <w:rPr>
          <w:rFonts w:ascii="Verdana" w:hAnsi="Verdana"/>
          <w:sz w:val="22"/>
          <w:szCs w:val="22"/>
        </w:rPr>
        <w:t>, with sexual health services one of the largest areas affected</w:t>
      </w:r>
      <w:r w:rsidR="5124DCE4">
        <w:rPr>
          <w:rFonts w:ascii="Verdana" w:hAnsi="Verdana"/>
          <w:sz w:val="22"/>
          <w:szCs w:val="22"/>
        </w:rPr>
        <w:t xml:space="preserve">. </w:t>
      </w:r>
      <w:r w:rsidRPr="00AF7733">
        <w:rPr>
          <w:rFonts w:ascii="Verdana" w:hAnsi="Verdana"/>
          <w:sz w:val="22"/>
          <w:szCs w:val="22"/>
        </w:rPr>
        <w:t xml:space="preserve">There </w:t>
      </w:r>
      <w:r w:rsidR="3CC7AB74">
        <w:rPr>
          <w:rFonts w:ascii="Verdana" w:hAnsi="Verdana"/>
          <w:sz w:val="22"/>
          <w:szCs w:val="22"/>
        </w:rPr>
        <w:t>are national</w:t>
      </w:r>
      <w:r w:rsidRPr="00AF7733">
        <w:rPr>
          <w:rFonts w:ascii="Verdana" w:hAnsi="Verdana"/>
          <w:sz w:val="22"/>
          <w:szCs w:val="22"/>
        </w:rPr>
        <w:t xml:space="preserve"> concerns about the impact of spending cuts given the long-term health consequences for those with poor sexual health</w:t>
      </w:r>
      <w:r w:rsidR="00630AB0" w:rsidRPr="00AF7733">
        <w:rPr>
          <w:rStyle w:val="FootnoteReference"/>
          <w:rFonts w:ascii="Verdana" w:hAnsi="Verdana"/>
          <w:sz w:val="22"/>
          <w:szCs w:val="22"/>
        </w:rPr>
        <w:footnoteReference w:id="44"/>
      </w:r>
      <w:r w:rsidR="5124DCE4">
        <w:rPr>
          <w:rFonts w:ascii="Verdana" w:hAnsi="Verdana"/>
          <w:sz w:val="22"/>
          <w:szCs w:val="22"/>
        </w:rPr>
        <w:t>. In the light of this, considerable efforts and underway across Kent County Council to undertake a major programme of transformation to review existing contracts and optimise value for money and optimal performance</w:t>
      </w:r>
      <w:r w:rsidR="5124DCE4" w:rsidRPr="00AF7733">
        <w:rPr>
          <w:rFonts w:ascii="Verdana" w:hAnsi="Verdana"/>
          <w:sz w:val="22"/>
          <w:szCs w:val="22"/>
        </w:rPr>
        <w:t xml:space="preserve">. </w:t>
      </w:r>
      <w:r w:rsidR="5124DCE4">
        <w:rPr>
          <w:rFonts w:ascii="Verdana" w:hAnsi="Verdana"/>
          <w:sz w:val="22"/>
          <w:szCs w:val="22"/>
        </w:rPr>
        <w:t>There are</w:t>
      </w:r>
      <w:r w:rsidR="4A4D03A0">
        <w:rPr>
          <w:rFonts w:ascii="Verdana" w:hAnsi="Verdana"/>
          <w:sz w:val="22"/>
          <w:szCs w:val="22"/>
        </w:rPr>
        <w:t xml:space="preserve"> steps to mitigate against this through our advocacy and partnership efforts across Kent, South East region and nationally to support</w:t>
      </w:r>
      <w:r w:rsidR="5124DCE4">
        <w:rPr>
          <w:rFonts w:ascii="Verdana" w:hAnsi="Verdana"/>
          <w:sz w:val="22"/>
          <w:szCs w:val="22"/>
        </w:rPr>
        <w:t xml:space="preserve"> ensuring optimal funding and focus for sexual health. </w:t>
      </w:r>
    </w:p>
    <w:p w14:paraId="0A7D2F7C" w14:textId="77777777" w:rsidR="00630AB0" w:rsidRPr="0089791B" w:rsidRDefault="03755ACC" w:rsidP="49636075">
      <w:pPr>
        <w:pStyle w:val="Heading2"/>
        <w:numPr>
          <w:ilvl w:val="0"/>
          <w:numId w:val="0"/>
        </w:numPr>
        <w:rPr>
          <w:rFonts w:ascii="Verdana" w:hAnsi="Verdana"/>
          <w:sz w:val="24"/>
          <w:szCs w:val="24"/>
        </w:rPr>
      </w:pPr>
      <w:bookmarkStart w:id="12" w:name="_Toc713546840"/>
      <w:r w:rsidRPr="136F3BEB">
        <w:rPr>
          <w:rFonts w:ascii="Verdana" w:hAnsi="Verdana"/>
          <w:sz w:val="24"/>
          <w:szCs w:val="24"/>
        </w:rPr>
        <w:t xml:space="preserve">2.2 </w:t>
      </w:r>
      <w:r w:rsidR="65B6788B" w:rsidRPr="136F3BEB">
        <w:rPr>
          <w:rFonts w:ascii="Verdana" w:eastAsia="Verdana" w:hAnsi="Verdana" w:cs="Verdana"/>
          <w:sz w:val="24"/>
          <w:szCs w:val="24"/>
        </w:rPr>
        <w:t>Local Context</w:t>
      </w:r>
      <w:bookmarkEnd w:id="12"/>
    </w:p>
    <w:p w14:paraId="7F9353BA" w14:textId="77777777" w:rsidR="00630AB0" w:rsidRPr="008D6AC4" w:rsidRDefault="532C6B5B" w:rsidP="00630AB0">
      <w:pPr>
        <w:jc w:val="both"/>
        <w:rPr>
          <w:rFonts w:ascii="Verdana" w:hAnsi="Verdana"/>
          <w:sz w:val="22"/>
          <w:szCs w:val="22"/>
        </w:rPr>
      </w:pPr>
      <w:r w:rsidRPr="008D6AC4">
        <w:rPr>
          <w:rFonts w:ascii="Verdana" w:hAnsi="Verdana"/>
          <w:sz w:val="22"/>
          <w:szCs w:val="22"/>
        </w:rPr>
        <w:t xml:space="preserve">Kent’s population has changed since the last sexual health needs assessment with a population increase of 14,600 from mid-2021 to mid-2022, of which, </w:t>
      </w:r>
      <w:r w:rsidRPr="008D6AC4">
        <w:rPr>
          <w:rFonts w:ascii="Verdana" w:hAnsi="Verdana"/>
          <w:sz w:val="22"/>
          <w:szCs w:val="22"/>
        </w:rPr>
        <w:lastRenderedPageBreak/>
        <w:t>95.7% has been because of migration</w:t>
      </w:r>
      <w:r w:rsidR="00630AB0" w:rsidRPr="008D6AC4">
        <w:rPr>
          <w:rStyle w:val="FootnoteReference"/>
          <w:rFonts w:ascii="Verdana" w:hAnsi="Verdana"/>
          <w:sz w:val="22"/>
          <w:szCs w:val="22"/>
        </w:rPr>
        <w:footnoteReference w:id="45"/>
      </w:r>
      <w:r w:rsidRPr="008D6AC4">
        <w:rPr>
          <w:rFonts w:ascii="Verdana" w:hAnsi="Verdana"/>
          <w:sz w:val="22"/>
          <w:szCs w:val="22"/>
        </w:rPr>
        <w:t xml:space="preserve">. This is likely to have an impact on health services in the county, including for sexual health. </w:t>
      </w:r>
    </w:p>
    <w:p w14:paraId="520002CD" w14:textId="77777777" w:rsidR="00630AB0" w:rsidRPr="008D6AC4" w:rsidRDefault="532C6B5B" w:rsidP="00630AB0">
      <w:pPr>
        <w:jc w:val="both"/>
        <w:rPr>
          <w:rFonts w:ascii="Verdana" w:hAnsi="Verdana"/>
          <w:sz w:val="22"/>
          <w:szCs w:val="22"/>
        </w:rPr>
      </w:pPr>
      <w:r w:rsidRPr="008D6AC4">
        <w:rPr>
          <w:rFonts w:ascii="Verdana" w:hAnsi="Verdana"/>
          <w:sz w:val="22"/>
          <w:szCs w:val="22"/>
        </w:rPr>
        <w:t>The total fertility rate and general fertility rate in Kent are both declining over time</w:t>
      </w:r>
      <w:r w:rsidR="00630AB0" w:rsidRPr="008D6AC4">
        <w:rPr>
          <w:rStyle w:val="FootnoteReference"/>
          <w:rFonts w:ascii="Verdana" w:hAnsi="Verdana"/>
          <w:sz w:val="22"/>
          <w:szCs w:val="22"/>
        </w:rPr>
        <w:footnoteReference w:id="46"/>
      </w:r>
      <w:r w:rsidRPr="008D6AC4">
        <w:rPr>
          <w:rFonts w:ascii="Verdana" w:hAnsi="Verdana"/>
          <w:sz w:val="22"/>
          <w:szCs w:val="22"/>
        </w:rPr>
        <w:t>. The total fertility rate is the “average number of live children that a group of women would bear if they experienced the age-specific fertility rates of the calendar year throughout their childbearing lifespan”. General fertility rate is the “number of live births in a year per 1,000 women aged 15 to 44 years”. It is a measure of current fertility levels</w:t>
      </w:r>
      <w:r w:rsidR="00630AB0" w:rsidRPr="008D6AC4">
        <w:rPr>
          <w:rStyle w:val="FootnoteReference"/>
          <w:rFonts w:ascii="Verdana" w:hAnsi="Verdana"/>
          <w:sz w:val="22"/>
          <w:szCs w:val="22"/>
        </w:rPr>
        <w:footnoteReference w:id="47"/>
      </w:r>
      <w:r w:rsidRPr="008D6AC4">
        <w:rPr>
          <w:rFonts w:ascii="Verdana" w:hAnsi="Verdana"/>
          <w:sz w:val="22"/>
          <w:szCs w:val="22"/>
        </w:rPr>
        <w:t xml:space="preserve">. The birth rate, which is the total number of live births each year, is currently at its lowest level for over 10 years.  </w:t>
      </w:r>
    </w:p>
    <w:p w14:paraId="6578529B" w14:textId="77777777" w:rsidR="00630AB0" w:rsidRPr="008D6AC4" w:rsidRDefault="532C6B5B" w:rsidP="00630AB0">
      <w:pPr>
        <w:jc w:val="both"/>
        <w:rPr>
          <w:rFonts w:ascii="Verdana" w:hAnsi="Verdana"/>
          <w:sz w:val="22"/>
          <w:szCs w:val="22"/>
        </w:rPr>
      </w:pPr>
      <w:r w:rsidRPr="008D6AC4">
        <w:rPr>
          <w:rFonts w:ascii="Verdana" w:hAnsi="Verdana"/>
          <w:sz w:val="22"/>
          <w:szCs w:val="22"/>
        </w:rPr>
        <w:t>Declining fertility and birth rates have been attributed to better access to contraception for women, as well in delays in the age at which a woman has her first child, amongst other social determinants</w:t>
      </w:r>
      <w:r w:rsidR="00630AB0" w:rsidRPr="008D6AC4">
        <w:rPr>
          <w:rStyle w:val="FootnoteReference"/>
          <w:rFonts w:ascii="Verdana" w:hAnsi="Verdana"/>
          <w:sz w:val="22"/>
          <w:szCs w:val="22"/>
        </w:rPr>
        <w:footnoteReference w:id="48"/>
      </w:r>
      <w:r w:rsidRPr="008D6AC4">
        <w:rPr>
          <w:rFonts w:ascii="Verdana" w:hAnsi="Verdana"/>
          <w:sz w:val="22"/>
          <w:szCs w:val="22"/>
        </w:rPr>
        <w:t xml:space="preserve">. </w:t>
      </w:r>
    </w:p>
    <w:p w14:paraId="5405DFDF" w14:textId="77777777" w:rsidR="00630AB0" w:rsidRPr="008D6AC4" w:rsidRDefault="00630AB0" w:rsidP="00630AB0">
      <w:pPr>
        <w:jc w:val="both"/>
        <w:rPr>
          <w:rFonts w:ascii="Verdana" w:hAnsi="Verdana"/>
          <w:sz w:val="22"/>
          <w:szCs w:val="22"/>
        </w:rPr>
      </w:pPr>
      <w:r w:rsidRPr="008D6AC4">
        <w:rPr>
          <w:rFonts w:ascii="Verdana" w:hAnsi="Verdana"/>
          <w:sz w:val="22"/>
          <w:szCs w:val="22"/>
        </w:rPr>
        <w:t xml:space="preserve">In terms of other factors in Kent impacting on sexual health, there has been challenges with Kent’s sexual health estates and often there are difficulties with finding and retaining appropriate sexual health property. </w:t>
      </w:r>
    </w:p>
    <w:p w14:paraId="006A4682" w14:textId="77777777" w:rsidR="001C6205" w:rsidRPr="008D6AC4" w:rsidRDefault="3FF834EE" w:rsidP="2AA663A8">
      <w:pPr>
        <w:spacing w:before="0" w:after="0"/>
        <w:jc w:val="both"/>
        <w:textAlignment w:val="baseline"/>
        <w:rPr>
          <w:rFonts w:ascii="Verdana" w:hAnsi="Verdana"/>
          <w:sz w:val="22"/>
          <w:szCs w:val="22"/>
        </w:rPr>
      </w:pPr>
      <w:r w:rsidRPr="136F3BEB">
        <w:rPr>
          <w:rFonts w:ascii="Verdana" w:hAnsi="Verdana"/>
          <w:sz w:val="22"/>
          <w:szCs w:val="22"/>
        </w:rPr>
        <w:t>This sexual health needs assessment aims to give a pragmatic look at Kent’s sexual health needs and services to help inform Kent County Council (KCC)’s service transformation work. This will help to ensure any changes to services are based on the best available public health information. This document summarises the sexual health headline areas.</w:t>
      </w:r>
    </w:p>
    <w:p w14:paraId="081F8A33" w14:textId="77777777" w:rsidR="136F3BEB" w:rsidRDefault="136F3BEB" w:rsidP="136F3BEB">
      <w:pPr>
        <w:pStyle w:val="Heading1"/>
        <w:numPr>
          <w:ilvl w:val="0"/>
          <w:numId w:val="0"/>
        </w:numPr>
        <w:spacing w:before="0" w:after="200"/>
        <w:rPr>
          <w:rFonts w:ascii="Verdana" w:hAnsi="Verdana"/>
          <w:color w:val="2D7C82"/>
          <w:sz w:val="28"/>
          <w:szCs w:val="28"/>
        </w:rPr>
      </w:pPr>
    </w:p>
    <w:p w14:paraId="3D057702" w14:textId="77777777" w:rsidR="00C331E1" w:rsidRPr="0089791B" w:rsidRDefault="318C7432" w:rsidP="136F3BEB">
      <w:pPr>
        <w:pStyle w:val="Heading1"/>
        <w:numPr>
          <w:ilvl w:val="0"/>
          <w:numId w:val="0"/>
        </w:numPr>
        <w:spacing w:before="0" w:after="200"/>
        <w:rPr>
          <w:rFonts w:ascii="Verdana" w:hAnsi="Verdana"/>
          <w:color w:val="2D7C82"/>
          <w:sz w:val="28"/>
          <w:szCs w:val="28"/>
        </w:rPr>
      </w:pPr>
      <w:bookmarkStart w:id="13" w:name="_Toc431493365"/>
      <w:r w:rsidRPr="136F3BEB">
        <w:rPr>
          <w:rFonts w:ascii="Verdana" w:hAnsi="Verdana"/>
          <w:color w:val="2D7C82"/>
          <w:sz w:val="28"/>
          <w:szCs w:val="28"/>
        </w:rPr>
        <w:t xml:space="preserve">3. </w:t>
      </w:r>
      <w:r w:rsidR="65B6788B" w:rsidRPr="136F3BEB">
        <w:rPr>
          <w:rFonts w:ascii="Verdana" w:hAnsi="Verdana"/>
          <w:color w:val="2D7C82"/>
          <w:sz w:val="28"/>
          <w:szCs w:val="28"/>
        </w:rPr>
        <w:t>Kent Population Profile</w:t>
      </w:r>
      <w:bookmarkEnd w:id="13"/>
    </w:p>
    <w:p w14:paraId="15B35AB6" w14:textId="77777777" w:rsidR="00FC7A01" w:rsidRPr="0089791B" w:rsidRDefault="1196CF63" w:rsidP="4A0F6D8A">
      <w:pPr>
        <w:pStyle w:val="Heading2"/>
        <w:numPr>
          <w:ilvl w:val="0"/>
          <w:numId w:val="0"/>
        </w:numPr>
        <w:rPr>
          <w:rFonts w:ascii="Verdana" w:hAnsi="Verdana"/>
          <w:sz w:val="24"/>
          <w:szCs w:val="24"/>
        </w:rPr>
      </w:pPr>
      <w:bookmarkStart w:id="14" w:name="_Toc13359961"/>
      <w:r w:rsidRPr="136F3BEB">
        <w:rPr>
          <w:rFonts w:ascii="Verdana" w:hAnsi="Verdana"/>
          <w:sz w:val="24"/>
          <w:szCs w:val="24"/>
        </w:rPr>
        <w:t xml:space="preserve">3.1 </w:t>
      </w:r>
      <w:r w:rsidR="65B6788B" w:rsidRPr="136F3BEB">
        <w:rPr>
          <w:rFonts w:ascii="Verdana" w:hAnsi="Verdana"/>
          <w:sz w:val="24"/>
          <w:szCs w:val="24"/>
        </w:rPr>
        <w:t>Kent Population and Geography</w:t>
      </w:r>
      <w:bookmarkEnd w:id="14"/>
    </w:p>
    <w:p w14:paraId="1CABC525" w14:textId="77777777" w:rsidR="00630AB0" w:rsidRPr="008D6AC4" w:rsidRDefault="31F010C3" w:rsidP="00630AB0">
      <w:pPr>
        <w:jc w:val="both"/>
        <w:rPr>
          <w:rFonts w:ascii="Verdana" w:hAnsi="Verdana"/>
          <w:sz w:val="22"/>
          <w:szCs w:val="22"/>
        </w:rPr>
      </w:pPr>
      <w:r w:rsidRPr="008D6AC4">
        <w:rPr>
          <w:rFonts w:ascii="Verdana" w:hAnsi="Verdana"/>
          <w:sz w:val="22"/>
          <w:szCs w:val="22"/>
        </w:rPr>
        <w:t>Kent’s population is growing, over the last 20 years it has risen by 19.4%</w:t>
      </w:r>
      <w:r w:rsidR="00630AB0" w:rsidRPr="008D6AC4">
        <w:rPr>
          <w:rStyle w:val="FootnoteReference"/>
          <w:rFonts w:ascii="Verdana" w:hAnsi="Verdana"/>
          <w:sz w:val="22"/>
          <w:szCs w:val="22"/>
        </w:rPr>
        <w:footnoteReference w:id="49"/>
      </w:r>
      <w:r w:rsidRPr="008D6AC4">
        <w:rPr>
          <w:rFonts w:ascii="Verdana" w:hAnsi="Verdana"/>
          <w:sz w:val="22"/>
          <w:szCs w:val="22"/>
        </w:rPr>
        <w:t xml:space="preserve">. Since the last needs assessment in 2018 it is estimated that the population has increased by approximately 65,400 people. </w:t>
      </w:r>
    </w:p>
    <w:p w14:paraId="0B7EBCDB" w14:textId="77777777" w:rsidR="00121328" w:rsidRDefault="00121328">
      <w:pPr>
        <w:spacing w:before="0" w:after="200"/>
        <w:rPr>
          <w:rFonts w:ascii="Verdana" w:hAnsi="Verdana"/>
          <w:b/>
          <w:bCs/>
          <w:sz w:val="22"/>
          <w:szCs w:val="22"/>
        </w:rPr>
      </w:pPr>
      <w:r>
        <w:rPr>
          <w:rFonts w:ascii="Verdana" w:hAnsi="Verdana"/>
          <w:b/>
          <w:bCs/>
          <w:sz w:val="22"/>
          <w:szCs w:val="22"/>
        </w:rPr>
        <w:br w:type="page"/>
      </w:r>
    </w:p>
    <w:p w14:paraId="04B6EBCB" w14:textId="27A1F69D" w:rsidR="00630AB0" w:rsidRPr="008D6AC4" w:rsidRDefault="6EDEFC8C" w:rsidP="4A0F6D8A">
      <w:pPr>
        <w:jc w:val="both"/>
        <w:rPr>
          <w:rFonts w:ascii="Verdana" w:hAnsi="Verdana"/>
          <w:b/>
          <w:bCs/>
          <w:sz w:val="22"/>
          <w:szCs w:val="22"/>
        </w:rPr>
      </w:pPr>
      <w:r w:rsidRPr="136F3BEB">
        <w:rPr>
          <w:rFonts w:ascii="Verdana" w:hAnsi="Verdana"/>
          <w:b/>
          <w:bCs/>
          <w:sz w:val="22"/>
          <w:szCs w:val="22"/>
        </w:rPr>
        <w:lastRenderedPageBreak/>
        <w:t xml:space="preserve">Figure </w:t>
      </w:r>
      <w:r w:rsidR="23275FEC" w:rsidRPr="136F3BEB">
        <w:rPr>
          <w:rFonts w:ascii="Verdana" w:hAnsi="Verdana"/>
          <w:b/>
          <w:bCs/>
          <w:sz w:val="22"/>
          <w:szCs w:val="22"/>
        </w:rPr>
        <w:t>2</w:t>
      </w:r>
      <w:r w:rsidRPr="136F3BEB">
        <w:rPr>
          <w:rFonts w:ascii="Verdana" w:hAnsi="Verdana"/>
          <w:b/>
          <w:bCs/>
          <w:sz w:val="22"/>
          <w:szCs w:val="22"/>
        </w:rPr>
        <w:t>: Population Pyramid for Kent Population in 2022</w:t>
      </w:r>
    </w:p>
    <w:p w14:paraId="78808BEE" w14:textId="77777777" w:rsidR="00630AB0" w:rsidRPr="008D6AC4" w:rsidRDefault="00630AB0" w:rsidP="00630AB0">
      <w:pPr>
        <w:jc w:val="both"/>
        <w:rPr>
          <w:rFonts w:ascii="Verdana" w:hAnsi="Verdana"/>
          <w:sz w:val="22"/>
          <w:szCs w:val="22"/>
        </w:rPr>
      </w:pPr>
      <w:r w:rsidRPr="008D6AC4">
        <w:rPr>
          <w:rFonts w:ascii="Verdana" w:hAnsi="Verdana"/>
          <w:noProof/>
          <w:color w:val="2B579A"/>
          <w:sz w:val="22"/>
          <w:szCs w:val="22"/>
          <w:shd w:val="clear" w:color="auto" w:fill="E6E6E6"/>
        </w:rPr>
        <w:drawing>
          <wp:inline distT="0" distB="0" distL="0" distR="0" wp14:anchorId="475A32AA" wp14:editId="6A567D12">
            <wp:extent cx="5731510" cy="3840480"/>
            <wp:effectExtent l="0" t="0" r="2540" b="7620"/>
            <wp:docPr id="228660041" name="Picture 2" descr="A population pyramid of Kent in 2022 for males and females. The population breakdown of Kent is similar to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60041" name="Picture 2" descr="A population pyramid of Kent in 2022 for males and females. The population breakdown of Kent is similar to England."/>
                    <pic:cNvPicPr/>
                  </pic:nvPicPr>
                  <pic:blipFill>
                    <a:blip r:embed="rId19">
                      <a:extLst>
                        <a:ext uri="{28A0092B-C50C-407E-A947-70E740481C1C}">
                          <a14:useLocalDpi xmlns:a14="http://schemas.microsoft.com/office/drawing/2010/main" val="0"/>
                        </a:ext>
                      </a:extLst>
                    </a:blip>
                    <a:stretch>
                      <a:fillRect/>
                    </a:stretch>
                  </pic:blipFill>
                  <pic:spPr>
                    <a:xfrm>
                      <a:off x="0" y="0"/>
                      <a:ext cx="5731510" cy="3840480"/>
                    </a:xfrm>
                    <a:prstGeom prst="rect">
                      <a:avLst/>
                    </a:prstGeom>
                  </pic:spPr>
                </pic:pic>
              </a:graphicData>
            </a:graphic>
          </wp:inline>
        </w:drawing>
      </w:r>
    </w:p>
    <w:p w14:paraId="76852AB6" w14:textId="77777777" w:rsidR="00FC7A01" w:rsidRPr="008D6AC4" w:rsidRDefault="6EDEFC8C" w:rsidP="4A0F6D8A">
      <w:pPr>
        <w:jc w:val="both"/>
        <w:rPr>
          <w:rFonts w:ascii="Verdana" w:hAnsi="Verdana"/>
          <w:sz w:val="22"/>
          <w:szCs w:val="22"/>
        </w:rPr>
      </w:pPr>
      <w:r w:rsidRPr="136F3BEB">
        <w:rPr>
          <w:rFonts w:ascii="Verdana" w:hAnsi="Verdana"/>
          <w:sz w:val="22"/>
          <w:szCs w:val="22"/>
        </w:rPr>
        <w:t>Within the Kent population, there are more females than males and the population pyramid (</w:t>
      </w:r>
      <w:r w:rsidR="0921719B" w:rsidRPr="136F3BEB">
        <w:rPr>
          <w:rFonts w:ascii="Verdana" w:hAnsi="Verdana"/>
          <w:b/>
          <w:bCs/>
          <w:sz w:val="22"/>
          <w:szCs w:val="22"/>
        </w:rPr>
        <w:t>F</w:t>
      </w:r>
      <w:r w:rsidRPr="136F3BEB">
        <w:rPr>
          <w:rFonts w:ascii="Verdana" w:hAnsi="Verdana"/>
          <w:b/>
          <w:bCs/>
          <w:sz w:val="22"/>
          <w:szCs w:val="22"/>
        </w:rPr>
        <w:t xml:space="preserve">igure </w:t>
      </w:r>
      <w:r w:rsidR="57584DD5" w:rsidRPr="136F3BEB">
        <w:rPr>
          <w:rFonts w:ascii="Verdana" w:hAnsi="Verdana"/>
          <w:b/>
          <w:bCs/>
          <w:sz w:val="22"/>
          <w:szCs w:val="22"/>
        </w:rPr>
        <w:t>2</w:t>
      </w:r>
      <w:r w:rsidRPr="136F3BEB">
        <w:rPr>
          <w:rFonts w:ascii="Verdana" w:hAnsi="Verdana"/>
          <w:sz w:val="22"/>
          <w:szCs w:val="22"/>
        </w:rPr>
        <w:t>) shows a high proportion of individuals in the younger age group (5 to 14), with</w:t>
      </w:r>
      <w:r w:rsidR="44190CF4" w:rsidRPr="136F3BEB">
        <w:rPr>
          <w:rFonts w:ascii="Verdana" w:hAnsi="Verdana"/>
          <w:sz w:val="22"/>
          <w:szCs w:val="22"/>
        </w:rPr>
        <w:t xml:space="preserve"> the</w:t>
      </w:r>
      <w:r w:rsidRPr="136F3BEB">
        <w:rPr>
          <w:rFonts w:ascii="Verdana" w:hAnsi="Verdana"/>
          <w:sz w:val="22"/>
          <w:szCs w:val="22"/>
        </w:rPr>
        <w:t xml:space="preserve"> number being slightly higher than the regional and national figures. There is also a large proportion of people within the middle-aged group (50 to 59). The pyramid narrows towards the top, indicating a smaller elderly population within Kent. Additionally, there are fewer young adults compared to regional and national figures, specifically between the ages of 20 to 29.  </w:t>
      </w:r>
    </w:p>
    <w:p w14:paraId="6DC46EB1" w14:textId="77777777" w:rsidR="00FC7A01" w:rsidRPr="0089791B" w:rsidRDefault="5FFDBA98" w:rsidP="4A0F6D8A">
      <w:pPr>
        <w:pStyle w:val="Heading2"/>
        <w:numPr>
          <w:ilvl w:val="0"/>
          <w:numId w:val="0"/>
        </w:numPr>
        <w:rPr>
          <w:rFonts w:ascii="Verdana" w:hAnsi="Verdana"/>
          <w:sz w:val="24"/>
          <w:szCs w:val="24"/>
        </w:rPr>
      </w:pPr>
      <w:bookmarkStart w:id="15" w:name="_Toc634877919"/>
      <w:r w:rsidRPr="136F3BEB">
        <w:rPr>
          <w:rFonts w:ascii="Verdana" w:hAnsi="Verdana"/>
          <w:sz w:val="24"/>
          <w:szCs w:val="24"/>
        </w:rPr>
        <w:t xml:space="preserve">3.2 </w:t>
      </w:r>
      <w:r w:rsidR="65B6788B" w:rsidRPr="136F3BEB">
        <w:rPr>
          <w:rFonts w:ascii="Verdana" w:hAnsi="Verdana"/>
          <w:sz w:val="24"/>
          <w:szCs w:val="24"/>
        </w:rPr>
        <w:t>Groups at higher risk of poor sexual health</w:t>
      </w:r>
      <w:bookmarkEnd w:id="15"/>
    </w:p>
    <w:p w14:paraId="23D76FC4" w14:textId="77777777" w:rsidR="00D15EDD" w:rsidRPr="008D6AC4" w:rsidRDefault="006370CB" w:rsidP="00D15EDD">
      <w:pPr>
        <w:pStyle w:val="NormalWeb"/>
        <w:jc w:val="both"/>
        <w:rPr>
          <w:rFonts w:ascii="Verdana" w:hAnsi="Verdana" w:cstheme="minorBidi"/>
          <w:sz w:val="22"/>
          <w:szCs w:val="22"/>
        </w:rPr>
      </w:pPr>
      <w:r w:rsidRPr="00AF7733">
        <w:rPr>
          <w:rFonts w:ascii="Verdana" w:hAnsi="Verdana"/>
          <w:noProof/>
          <w:color w:val="2B579A"/>
          <w:sz w:val="22"/>
          <w:szCs w:val="22"/>
          <w:shd w:val="clear" w:color="auto" w:fill="E6E6E6"/>
        </w:rPr>
        <w:lastRenderedPageBreak/>
        <mc:AlternateContent>
          <mc:Choice Requires="wps">
            <w:drawing>
              <wp:anchor distT="45720" distB="45720" distL="114300" distR="114300" simplePos="0" relativeHeight="251658242" behindDoc="0" locked="0" layoutInCell="1" allowOverlap="1" wp14:anchorId="1309092A" wp14:editId="59ACCCA6">
                <wp:simplePos x="0" y="0"/>
                <wp:positionH relativeFrom="column">
                  <wp:posOffset>-44450</wp:posOffset>
                </wp:positionH>
                <wp:positionV relativeFrom="page">
                  <wp:posOffset>2413000</wp:posOffset>
                </wp:positionV>
                <wp:extent cx="5689600" cy="1536065"/>
                <wp:effectExtent l="19050" t="19050" r="25400" b="13970"/>
                <wp:wrapSquare wrapText="bothSides"/>
                <wp:docPr id="610124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536065"/>
                        </a:xfrm>
                        <a:prstGeom prst="rect">
                          <a:avLst/>
                        </a:prstGeom>
                        <a:noFill/>
                        <a:ln w="28575">
                          <a:solidFill>
                            <a:srgbClr val="7FCDD3"/>
                          </a:solidFill>
                          <a:miter lim="800000"/>
                          <a:headEnd/>
                          <a:tailEnd/>
                        </a:ln>
                      </wps:spPr>
                      <wps:txbx>
                        <w:txbxContent>
                          <w:p w14:paraId="44BA8027" w14:textId="77777777" w:rsidR="000D3D9B" w:rsidRPr="000D3D9B" w:rsidRDefault="000D3D9B" w:rsidP="000D3D9B">
                            <w:pPr>
                              <w:rPr>
                                <w:rFonts w:ascii="Verdana" w:hAnsi="Verdana"/>
                                <w:i/>
                                <w:iCs/>
                                <w:color w:val="2D7C82"/>
                                <w:sz w:val="22"/>
                                <w:szCs w:val="22"/>
                              </w:rPr>
                            </w:pPr>
                            <w:r w:rsidRPr="000D3D9B">
                              <w:rPr>
                                <w:rFonts w:ascii="Verdana" w:hAnsi="Verdana"/>
                                <w:i/>
                                <w:iCs/>
                                <w:color w:val="2D7C82"/>
                                <w:sz w:val="22"/>
                                <w:szCs w:val="22"/>
                              </w:rPr>
                              <w:t>Young people are at a higher risk of STIs and unplanned pregnancy, making this group a key focus for sexual health services. Young people have raised a lack of awareness of services and a need to improve education around healthy relationships.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09092A" id="_x0000_s1027" type="#_x0000_t202" style="position:absolute;left:0;text-align:left;margin-left:-3.5pt;margin-top:190pt;width:448pt;height:120.95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" filled="f" strokecolor="#7fcdd3" strokeweight="2.25pt">
                <v:textbox style="mso-fit-shape-to-text:t">
                  <w:txbxContent>
                    <w:p w14:paraId="44BA8027" w14:textId="77777777" w:rsidR="000D3D9B" w:rsidRPr="000D3D9B" w:rsidRDefault="000D3D9B" w:rsidP="000D3D9B">
                      <w:pPr>
                        <w:rPr>
                          <w:rFonts w:ascii="Verdana" w:hAnsi="Verdana"/>
                          <w:i/>
                          <w:iCs/>
                          <w:color w:val="2D7C82"/>
                          <w:sz w:val="22"/>
                          <w:szCs w:val="22"/>
                        </w:rPr>
                      </w:pPr>
                      <w:r w:rsidRPr="000D3D9B">
                        <w:rPr>
                          <w:rFonts w:ascii="Verdana" w:hAnsi="Verdana"/>
                          <w:i/>
                          <w:iCs/>
                          <w:color w:val="2D7C82"/>
                          <w:sz w:val="22"/>
                          <w:szCs w:val="22"/>
                        </w:rPr>
                        <w:t>Young people are at a higher risk of STIs and unplanned pregnancy, making this group a key focus for sexual health services. Young people have raised a lack of awareness of services and a need to improve education around healthy relationships.</w:t>
                      </w:r>
                    </w:p>
                  </w:txbxContent>
                </v:textbox>
                <w10:wrap type="square" anchory="page"/>
              </v:shape>
            </w:pict>
          </mc:Fallback>
        </mc:AlternateContent>
      </w:r>
      <w:r w:rsidR="0EC857D0" w:rsidRPr="136F3BEB">
        <w:rPr>
          <w:rFonts w:ascii="Verdana" w:hAnsi="Verdana" w:cstheme="minorBidi"/>
          <w:sz w:val="22"/>
          <w:szCs w:val="22"/>
        </w:rPr>
        <w:t>Different groups in society experience health inequalities, including sexual health inequalities</w:t>
      </w:r>
      <w:r w:rsidR="00D15EDD" w:rsidRPr="136F3BEB">
        <w:rPr>
          <w:rStyle w:val="FootnoteReference"/>
          <w:rFonts w:ascii="Verdana" w:hAnsi="Verdana" w:cstheme="minorBidi"/>
          <w:sz w:val="22"/>
          <w:szCs w:val="22"/>
        </w:rPr>
        <w:footnoteReference w:id="50"/>
      </w:r>
      <w:r w:rsidR="0EC857D0" w:rsidRPr="136F3BEB">
        <w:rPr>
          <w:rFonts w:ascii="Verdana" w:hAnsi="Verdana" w:cstheme="minorBidi"/>
          <w:sz w:val="22"/>
          <w:szCs w:val="22"/>
        </w:rPr>
        <w:t>. Health inequalities can be described as avoidable, unfair and systematic differences in health between groups</w:t>
      </w:r>
      <w:r w:rsidR="00D15EDD" w:rsidRPr="136F3BEB">
        <w:rPr>
          <w:rStyle w:val="FootnoteReference"/>
          <w:rFonts w:ascii="Verdana" w:hAnsi="Verdana" w:cstheme="minorBidi"/>
          <w:sz w:val="22"/>
          <w:szCs w:val="22"/>
        </w:rPr>
        <w:footnoteReference w:id="51"/>
      </w:r>
      <w:r w:rsidR="0EC857D0" w:rsidRPr="136F3BEB">
        <w:rPr>
          <w:rFonts w:ascii="Verdana" w:hAnsi="Verdana" w:cstheme="minorBidi"/>
          <w:sz w:val="22"/>
          <w:szCs w:val="22"/>
        </w:rPr>
        <w:t xml:space="preserve">. This needs assessment demonstrates how different groups in Kent are impacted in terms of sexual health with the use of data and analysis in latter sections. This section aims to explore the inequalities experienced by certain groups who are at a higher risk of poor sexual health. </w:t>
      </w:r>
    </w:p>
    <w:p w14:paraId="42154AD2" w14:textId="77777777" w:rsidR="004C2A5A" w:rsidRDefault="004C2A5A" w:rsidP="136F3BEB">
      <w:pPr>
        <w:pStyle w:val="Heading2"/>
        <w:numPr>
          <w:ilvl w:val="0"/>
          <w:numId w:val="0"/>
        </w:numPr>
        <w:rPr>
          <w:rFonts w:ascii="Verdana" w:hAnsi="Verdana"/>
          <w:b w:val="0"/>
          <w:bCs w:val="0"/>
          <w:sz w:val="22"/>
          <w:szCs w:val="22"/>
        </w:rPr>
      </w:pPr>
      <w:bookmarkStart w:id="16" w:name="_Toc1913917208"/>
    </w:p>
    <w:p w14:paraId="1AE78899" w14:textId="5533DF95" w:rsidR="009966B7" w:rsidRPr="00AF7733" w:rsidRDefault="2F008202" w:rsidP="136F3BEB">
      <w:pPr>
        <w:pStyle w:val="Heading2"/>
        <w:numPr>
          <w:ilvl w:val="0"/>
          <w:numId w:val="0"/>
        </w:numPr>
        <w:rPr>
          <w:rFonts w:ascii="Verdana" w:hAnsi="Verdana" w:cstheme="minorBidi"/>
          <w:b w:val="0"/>
          <w:bCs w:val="0"/>
          <w:color w:val="auto"/>
          <w:sz w:val="22"/>
          <w:szCs w:val="22"/>
        </w:rPr>
      </w:pPr>
      <w:r w:rsidRPr="136F3BEB">
        <w:rPr>
          <w:rFonts w:ascii="Verdana" w:hAnsi="Verdana"/>
          <w:b w:val="0"/>
          <w:bCs w:val="0"/>
          <w:sz w:val="22"/>
          <w:szCs w:val="22"/>
        </w:rPr>
        <w:t xml:space="preserve">3.2.1 </w:t>
      </w:r>
      <w:r w:rsidR="5EF89FB2" w:rsidRPr="136F3BEB">
        <w:rPr>
          <w:rFonts w:ascii="Verdana" w:eastAsia="Verdana" w:hAnsi="Verdana" w:cs="Verdana"/>
          <w:sz w:val="22"/>
          <w:szCs w:val="22"/>
        </w:rPr>
        <w:t>Young people</w:t>
      </w:r>
      <w:bookmarkEnd w:id="16"/>
    </w:p>
    <w:p w14:paraId="3F70199E" w14:textId="77777777" w:rsidR="005D4255" w:rsidRPr="0089791B" w:rsidRDefault="3C8158BE" w:rsidP="0089791B">
      <w:pPr>
        <w:jc w:val="both"/>
        <w:rPr>
          <w:rFonts w:ascii="Verdana" w:hAnsi="Verdana"/>
          <w:sz w:val="22"/>
          <w:szCs w:val="22"/>
        </w:rPr>
      </w:pPr>
      <w:r w:rsidRPr="0089791B">
        <w:rPr>
          <w:rFonts w:ascii="Verdana" w:hAnsi="Verdana"/>
          <w:sz w:val="22"/>
          <w:szCs w:val="22"/>
        </w:rPr>
        <w:t>Young people (aged 15 to 24 years) are more likely to be diagnosed with an STI</w:t>
      </w:r>
      <w:r w:rsidR="00D15EDD" w:rsidRPr="136F3BEB">
        <w:rPr>
          <w:rStyle w:val="FootnoteReference"/>
          <w:rFonts w:ascii="Verdana" w:hAnsi="Verdana" w:cstheme="minorBidi"/>
          <w:sz w:val="22"/>
          <w:szCs w:val="22"/>
        </w:rPr>
        <w:footnoteReference w:id="52"/>
      </w:r>
      <w:r w:rsidRPr="136F3BEB">
        <w:rPr>
          <w:rFonts w:ascii="Verdana" w:hAnsi="Verdana"/>
          <w:sz w:val="22"/>
          <w:szCs w:val="22"/>
        </w:rPr>
        <w:t>. Nationally, they report larger numbers of sexual partners, with the age of sexual debut becoming younger over time. Certain groups of young people are at an increased risk of poor sexual health including those from ethnic minority groups, incarcerated youths, teenage parents, those who use drugs and those living in more deprived areas</w:t>
      </w:r>
      <w:r w:rsidR="00D15EDD" w:rsidRPr="136F3BEB">
        <w:rPr>
          <w:rStyle w:val="FootnoteReference"/>
          <w:rFonts w:ascii="Verdana" w:hAnsi="Verdana" w:cstheme="minorBidi"/>
          <w:sz w:val="22"/>
          <w:szCs w:val="22"/>
        </w:rPr>
        <w:footnoteReference w:id="53"/>
      </w:r>
      <w:r w:rsidRPr="136F3BEB">
        <w:rPr>
          <w:rFonts w:ascii="Verdana" w:hAnsi="Verdana"/>
          <w:sz w:val="22"/>
          <w:szCs w:val="22"/>
        </w:rPr>
        <w:t>. Under-18 conceptions are of a public health concern, given that teenagers have the highest rates of unplanned pregnancy and have disproportionately poor outcomes</w:t>
      </w:r>
      <w:r w:rsidRPr="136F3BEB">
        <w:rPr>
          <w:rStyle w:val="FootnoteReference"/>
          <w:rFonts w:ascii="Verdana" w:hAnsi="Verdana"/>
          <w:sz w:val="22"/>
          <w:szCs w:val="22"/>
        </w:rPr>
        <w:t>46</w:t>
      </w:r>
      <w:r w:rsidRPr="136F3BEB">
        <w:rPr>
          <w:rFonts w:ascii="Verdana" w:hAnsi="Verdana"/>
          <w:sz w:val="22"/>
          <w:szCs w:val="22"/>
        </w:rPr>
        <w:t>.</w:t>
      </w:r>
    </w:p>
    <w:p w14:paraId="4A93998A" w14:textId="77777777" w:rsidR="00D15EDD" w:rsidRPr="00AF7733" w:rsidRDefault="00D15EDD" w:rsidP="002E081D">
      <w:pPr>
        <w:pStyle w:val="NormalWeb"/>
        <w:spacing w:line="276" w:lineRule="auto"/>
        <w:jc w:val="both"/>
        <w:rPr>
          <w:rFonts w:ascii="Verdana" w:hAnsi="Verdana" w:cstheme="minorBidi"/>
          <w:sz w:val="22"/>
          <w:szCs w:val="22"/>
        </w:rPr>
      </w:pPr>
      <w:r w:rsidRPr="00AF7733">
        <w:rPr>
          <w:rFonts w:ascii="Verdana" w:hAnsi="Verdana" w:cstheme="minorBidi"/>
          <w:sz w:val="22"/>
          <w:szCs w:val="22"/>
        </w:rPr>
        <w:t>Within Kent, Canterbury is the district with the highest number of young people aged 16</w:t>
      </w:r>
      <w:r w:rsidR="00CE7924" w:rsidRPr="00AF7733">
        <w:rPr>
          <w:rFonts w:ascii="Verdana" w:hAnsi="Verdana" w:cstheme="minorBidi"/>
          <w:sz w:val="22"/>
          <w:szCs w:val="22"/>
        </w:rPr>
        <w:t xml:space="preserve"> to </w:t>
      </w:r>
      <w:r w:rsidRPr="00AF7733">
        <w:rPr>
          <w:rFonts w:ascii="Verdana" w:hAnsi="Verdana" w:cstheme="minorBidi"/>
          <w:sz w:val="22"/>
          <w:szCs w:val="22"/>
        </w:rPr>
        <w:t xml:space="preserve">25 years, corresponding with being the second highest district for STI diagnoses rates in Kent. Whilst under-18 conception rates have declined both in Kent and nationally, there is significant variation within the county with higher rates in Thanet, Swale, Dover and Ashford. </w:t>
      </w:r>
      <w:r w:rsidR="005D4255" w:rsidRPr="00AF7733">
        <w:rPr>
          <w:rFonts w:ascii="Verdana" w:hAnsi="Verdana" w:cstheme="minorBidi"/>
          <w:sz w:val="22"/>
          <w:szCs w:val="22"/>
        </w:rPr>
        <w:br/>
      </w:r>
      <w:r w:rsidR="000D3D9B" w:rsidRPr="0089791B">
        <w:rPr>
          <w:rFonts w:ascii="Verdana" w:hAnsi="Verdana"/>
          <w:sz w:val="22"/>
          <w:szCs w:val="22"/>
        </w:rPr>
        <w:br/>
      </w:r>
      <w:r w:rsidR="7AE037BE" w:rsidRPr="00AF7733">
        <w:rPr>
          <w:rFonts w:ascii="Verdana" w:hAnsi="Verdana"/>
          <w:sz w:val="22"/>
          <w:szCs w:val="22"/>
        </w:rPr>
        <w:t>In 2024, Kent County Council commissioned 31ten consultancy to obtain insights about KCC’s public health services, including sexual health.</w:t>
      </w:r>
      <w:r w:rsidR="00B43CEE">
        <w:rPr>
          <w:rFonts w:ascii="Verdana" w:hAnsi="Verdana"/>
          <w:sz w:val="22"/>
          <w:szCs w:val="22"/>
        </w:rPr>
        <w:t xml:space="preserve"> </w:t>
      </w:r>
      <w:r w:rsidR="7AE037BE" w:rsidRPr="00AF7733">
        <w:rPr>
          <w:rFonts w:ascii="Verdana" w:hAnsi="Verdana"/>
          <w:sz w:val="22"/>
          <w:szCs w:val="22"/>
        </w:rPr>
        <w:t xml:space="preserve">As part of this work, </w:t>
      </w:r>
      <w:r w:rsidR="00B43CEE">
        <w:rPr>
          <w:rFonts w:ascii="Verdana" w:hAnsi="Verdana"/>
          <w:sz w:val="22"/>
          <w:szCs w:val="22"/>
        </w:rPr>
        <w:t xml:space="preserve">a small sample of local </w:t>
      </w:r>
      <w:r w:rsidR="44073625" w:rsidRPr="00AF7733">
        <w:rPr>
          <w:rFonts w:ascii="Verdana" w:hAnsi="Verdana"/>
          <w:sz w:val="22"/>
          <w:szCs w:val="22"/>
        </w:rPr>
        <w:t>16- to 20-year-olds</w:t>
      </w:r>
      <w:r w:rsidR="7AE037BE" w:rsidRPr="00AF7733">
        <w:rPr>
          <w:rFonts w:ascii="Verdana" w:hAnsi="Verdana"/>
          <w:sz w:val="22"/>
          <w:szCs w:val="22"/>
        </w:rPr>
        <w:t xml:space="preserve"> were consulted, with a key finding being that the top reason about why condoms might not be used during sex was </w:t>
      </w:r>
      <w:r w:rsidR="7AE037BE" w:rsidRPr="00AF7733">
        <w:rPr>
          <w:rFonts w:ascii="Verdana" w:hAnsi="Verdana"/>
          <w:sz w:val="22"/>
          <w:szCs w:val="22"/>
        </w:rPr>
        <w:lastRenderedPageBreak/>
        <w:t xml:space="preserve">due to pressure (including peer pressure and pressure from partners). A lack of awareness of services was also apparent with 4 out of the 12 respondents to the survey not being aware of services available at their local sexual health clinics and 3 not being aware that free condoms were available for anyone aged 24 and under. </w:t>
      </w:r>
      <w:r w:rsidR="00B43CEE">
        <w:rPr>
          <w:rFonts w:ascii="Verdana" w:hAnsi="Verdana"/>
          <w:sz w:val="22"/>
          <w:szCs w:val="22"/>
        </w:rPr>
        <w:t xml:space="preserve">Whilst this being a small sample means that it is hard to draw strong conclusions from this, it does provide some useful findings that will be important to follow up further and seek to test with more young people in the next steps of our work. Additionally, this work has highlighted the need for greater engagement with local people, particularly from groups that are under-represented or at higher risk of poorer sexual health outcomes. This will be incorporated into the next steps of this work also going forwards. For the purposes of this needs assessment, we attempted therefore to supplement this work with additional insights from providers and others to be able to draw further conclusions. </w:t>
      </w:r>
    </w:p>
    <w:p w14:paraId="1B76267E" w14:textId="77777777" w:rsidR="0B224E1E" w:rsidRPr="00AF7733" w:rsidRDefault="00B43CEE" w:rsidP="0B224E1E">
      <w:pPr>
        <w:jc w:val="both"/>
        <w:rPr>
          <w:rFonts w:ascii="Verdana" w:hAnsi="Verdana"/>
          <w:sz w:val="22"/>
          <w:szCs w:val="22"/>
        </w:rPr>
      </w:pPr>
      <w:r>
        <w:rPr>
          <w:rFonts w:ascii="Verdana" w:hAnsi="Verdana"/>
          <w:sz w:val="22"/>
          <w:szCs w:val="22"/>
        </w:rPr>
        <w:t>A</w:t>
      </w:r>
      <w:r w:rsidR="19E4F5D2" w:rsidRPr="00AF7733">
        <w:rPr>
          <w:rFonts w:ascii="Verdana" w:hAnsi="Verdana"/>
          <w:sz w:val="22"/>
          <w:szCs w:val="22"/>
        </w:rPr>
        <w:t xml:space="preserve"> survey by Metro Charity</w:t>
      </w:r>
      <w:r>
        <w:rPr>
          <w:rFonts w:ascii="Verdana" w:hAnsi="Verdana"/>
          <w:sz w:val="22"/>
          <w:szCs w:val="22"/>
        </w:rPr>
        <w:t xml:space="preserve"> </w:t>
      </w:r>
      <w:r w:rsidR="19E4F5D2" w:rsidRPr="00AF7733">
        <w:rPr>
          <w:rFonts w:ascii="Verdana" w:hAnsi="Verdana"/>
          <w:sz w:val="22"/>
          <w:szCs w:val="22"/>
        </w:rPr>
        <w:t>found that 59% of sexually active young people surveyed had never had an STI test.</w:t>
      </w:r>
      <w:r w:rsidR="072A51AB" w:rsidRPr="00AF7733">
        <w:rPr>
          <w:rFonts w:ascii="Verdana" w:hAnsi="Verdana"/>
          <w:sz w:val="22"/>
          <w:szCs w:val="22"/>
        </w:rPr>
        <w:t xml:space="preserve"> </w:t>
      </w:r>
      <w:r w:rsidR="0F9D8C71" w:rsidRPr="00AF7733">
        <w:rPr>
          <w:rFonts w:ascii="Verdana" w:hAnsi="Verdana"/>
          <w:sz w:val="22"/>
          <w:szCs w:val="22"/>
        </w:rPr>
        <w:t xml:space="preserve">Almost half of the girls surveyed who engaged in condomless sex, reported the reason for this was that they were using alternative contraception and therefore didn’t think they needed a condom. </w:t>
      </w:r>
      <w:r w:rsidR="072A51AB" w:rsidRPr="00AF7733">
        <w:rPr>
          <w:rFonts w:ascii="Verdana" w:hAnsi="Verdana"/>
          <w:sz w:val="22"/>
          <w:szCs w:val="22"/>
        </w:rPr>
        <w:t xml:space="preserve">This could demonstrate a need for better education around testing and risk, but further insights would be able to decipher if this is generalisable to the whole Kent population of young people. </w:t>
      </w:r>
      <w:r w:rsidR="19E4F5D2" w:rsidRPr="00AF7733">
        <w:rPr>
          <w:rFonts w:ascii="Verdana" w:hAnsi="Verdana"/>
          <w:sz w:val="22"/>
          <w:szCs w:val="22"/>
        </w:rPr>
        <w:t xml:space="preserve"> </w:t>
      </w:r>
    </w:p>
    <w:p w14:paraId="1EAF5DB5" w14:textId="77777777" w:rsidR="00D15EDD" w:rsidRPr="00AF7733" w:rsidRDefault="0EC857D0" w:rsidP="00EE13AC">
      <w:pPr>
        <w:jc w:val="both"/>
        <w:rPr>
          <w:rFonts w:ascii="Verdana" w:hAnsi="Verdana"/>
          <w:sz w:val="22"/>
          <w:szCs w:val="22"/>
        </w:rPr>
      </w:pPr>
      <w:r w:rsidRPr="00AF7733">
        <w:rPr>
          <w:rFonts w:ascii="Verdana" w:hAnsi="Verdana"/>
          <w:sz w:val="22"/>
          <w:szCs w:val="22"/>
        </w:rPr>
        <w:t>Access to quality relationship and sex education, digital solutions</w:t>
      </w:r>
      <w:r w:rsidR="00D15EDD" w:rsidRPr="00AF7733">
        <w:rPr>
          <w:rStyle w:val="FootnoteReference"/>
          <w:rFonts w:ascii="Verdana" w:hAnsi="Verdana"/>
          <w:sz w:val="22"/>
          <w:szCs w:val="22"/>
        </w:rPr>
        <w:footnoteReference w:id="54"/>
      </w:r>
      <w:r w:rsidRPr="00AF7733">
        <w:rPr>
          <w:rFonts w:ascii="Verdana" w:hAnsi="Verdana"/>
          <w:sz w:val="22"/>
          <w:szCs w:val="22"/>
        </w:rPr>
        <w:t>, informed parents, targeted campaigns and cross-system plans and approaches</w:t>
      </w:r>
      <w:r w:rsidR="00D15EDD" w:rsidRPr="00AF7733">
        <w:rPr>
          <w:rStyle w:val="FootnoteReference"/>
          <w:rFonts w:ascii="Verdana" w:hAnsi="Verdana"/>
          <w:sz w:val="22"/>
          <w:szCs w:val="22"/>
        </w:rPr>
        <w:footnoteReference w:id="55"/>
      </w:r>
      <w:r w:rsidRPr="00AF7733">
        <w:rPr>
          <w:rFonts w:ascii="Verdana" w:hAnsi="Verdana"/>
          <w:sz w:val="22"/>
          <w:szCs w:val="22"/>
        </w:rPr>
        <w:t xml:space="preserve"> are evidenced prevention strategies to ensure good sexual health in young people. </w:t>
      </w:r>
    </w:p>
    <w:p w14:paraId="48AAA97E" w14:textId="77777777" w:rsidR="00D15EDD" w:rsidRPr="00AF7733" w:rsidRDefault="538A90F4" w:rsidP="136F3BEB">
      <w:pPr>
        <w:jc w:val="both"/>
        <w:rPr>
          <w:rFonts w:ascii="Verdana" w:hAnsi="Verdana"/>
          <w:b/>
          <w:bCs/>
          <w:noProof/>
          <w:sz w:val="22"/>
          <w:szCs w:val="22"/>
        </w:rPr>
      </w:pPr>
      <w:r>
        <w:rPr>
          <w:noProof/>
        </w:rPr>
        <w:lastRenderedPageBreak/>
        <w:drawing>
          <wp:inline distT="0" distB="0" distL="0" distR="0" wp14:anchorId="1602062C" wp14:editId="66B38406">
            <wp:extent cx="5601971" cy="3359150"/>
            <wp:effectExtent l="0" t="0" r="0" b="0"/>
            <wp:docPr id="444431318" name="Picture 1" descr="A map of secondary schools in Kent and their distance from sexual health services, majority of schools are with 0 to 10 kilometres of a sexual health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601971" cy="3359150"/>
                    </a:xfrm>
                    <a:prstGeom prst="rect">
                      <a:avLst/>
                    </a:prstGeom>
                    <a:noFill/>
                  </pic:spPr>
                </pic:pic>
              </a:graphicData>
            </a:graphic>
          </wp:inline>
        </w:drawing>
      </w:r>
    </w:p>
    <w:p w14:paraId="56351E37" w14:textId="77777777" w:rsidR="00D15EDD" w:rsidRPr="00AF7733" w:rsidRDefault="119D080E" w:rsidP="136F3BEB">
      <w:pPr>
        <w:jc w:val="both"/>
        <w:rPr>
          <w:rFonts w:ascii="Verdana" w:hAnsi="Verdana"/>
          <w:b/>
          <w:bCs/>
          <w:noProof/>
          <w:sz w:val="22"/>
          <w:szCs w:val="22"/>
        </w:rPr>
      </w:pPr>
      <w:r w:rsidRPr="00AF7733">
        <w:rPr>
          <w:rFonts w:ascii="Verdana" w:hAnsi="Verdana"/>
          <w:b/>
          <w:bCs/>
          <w:noProof/>
          <w:sz w:val="22"/>
          <w:szCs w:val="22"/>
        </w:rPr>
        <w:t xml:space="preserve">Figure </w:t>
      </w:r>
      <w:r w:rsidR="0E2FCBEB" w:rsidRPr="00AF7733">
        <w:rPr>
          <w:rFonts w:ascii="Verdana" w:hAnsi="Verdana"/>
          <w:b/>
          <w:bCs/>
          <w:noProof/>
          <w:sz w:val="22"/>
          <w:szCs w:val="22"/>
        </w:rPr>
        <w:t>3</w:t>
      </w:r>
      <w:r w:rsidRPr="00AF7733">
        <w:rPr>
          <w:rFonts w:ascii="Verdana" w:hAnsi="Verdana"/>
          <w:b/>
          <w:bCs/>
          <w:noProof/>
          <w:sz w:val="22"/>
          <w:szCs w:val="22"/>
        </w:rPr>
        <w:t>: Map of Secondary Schools in Kent and their Distance from Sexual Health Services</w:t>
      </w:r>
    </w:p>
    <w:p w14:paraId="4ED4FCD8" w14:textId="77777777" w:rsidR="00D15EDD" w:rsidRPr="00AF7733" w:rsidRDefault="00D15EDD" w:rsidP="4A0F6D8A">
      <w:pPr>
        <w:jc w:val="both"/>
        <w:rPr>
          <w:rFonts w:ascii="Verdana" w:hAnsi="Verdana"/>
          <w:noProof/>
          <w:sz w:val="22"/>
          <w:szCs w:val="22"/>
        </w:rPr>
      </w:pPr>
      <w:r>
        <w:br/>
      </w:r>
      <w:r w:rsidR="119D080E" w:rsidRPr="136F3BEB">
        <w:rPr>
          <w:rFonts w:ascii="Verdana" w:hAnsi="Verdana"/>
          <w:sz w:val="22"/>
          <w:szCs w:val="22"/>
        </w:rPr>
        <w:t xml:space="preserve">The map </w:t>
      </w:r>
      <w:r w:rsidR="68B6D8B3" w:rsidRPr="136F3BEB">
        <w:rPr>
          <w:rFonts w:ascii="Verdana" w:hAnsi="Verdana"/>
          <w:sz w:val="22"/>
          <w:szCs w:val="22"/>
        </w:rPr>
        <w:t xml:space="preserve">above </w:t>
      </w:r>
      <w:r w:rsidR="119D080E" w:rsidRPr="136F3BEB">
        <w:rPr>
          <w:rFonts w:ascii="Verdana" w:hAnsi="Verdana"/>
          <w:sz w:val="22"/>
          <w:szCs w:val="22"/>
        </w:rPr>
        <w:t>(</w:t>
      </w:r>
      <w:r w:rsidR="119D080E" w:rsidRPr="136F3BEB">
        <w:rPr>
          <w:rFonts w:ascii="Verdana" w:hAnsi="Verdana"/>
          <w:b/>
          <w:bCs/>
          <w:sz w:val="22"/>
          <w:szCs w:val="22"/>
        </w:rPr>
        <w:t xml:space="preserve">Figure </w:t>
      </w:r>
      <w:r w:rsidR="58B393B7" w:rsidRPr="136F3BEB">
        <w:rPr>
          <w:rFonts w:ascii="Verdana" w:hAnsi="Verdana"/>
          <w:b/>
          <w:bCs/>
          <w:sz w:val="22"/>
          <w:szCs w:val="22"/>
        </w:rPr>
        <w:t>3</w:t>
      </w:r>
      <w:r w:rsidR="119D080E" w:rsidRPr="136F3BEB">
        <w:rPr>
          <w:rFonts w:ascii="Verdana" w:hAnsi="Verdana"/>
          <w:sz w:val="22"/>
          <w:szCs w:val="22"/>
        </w:rPr>
        <w:t>) shows the secondary schools in Kent and their distance from sexual health services (SHSs). Using national schools' data, a list of secondary schools in Kent were found. Kent schools were included if they were open or proposed to open and classed as secondary, all-through, middle deemed secondary or 16 plus. 105 schools were included in the analysis and 14 SHSs.</w:t>
      </w:r>
      <w:r w:rsidR="119D080E" w:rsidRPr="136F3BEB">
        <w:rPr>
          <w:rFonts w:ascii="Verdana" w:hAnsi="Verdana"/>
          <w:noProof/>
          <w:sz w:val="22"/>
          <w:szCs w:val="22"/>
        </w:rPr>
        <w:t xml:space="preserve"> </w:t>
      </w:r>
    </w:p>
    <w:p w14:paraId="5BF4D4A4" w14:textId="77777777" w:rsidR="00D15EDD" w:rsidRPr="00AF7733" w:rsidRDefault="00D15EDD" w:rsidP="00D15EDD">
      <w:pPr>
        <w:jc w:val="both"/>
        <w:rPr>
          <w:rFonts w:ascii="Verdana" w:hAnsi="Verdana"/>
          <w:sz w:val="22"/>
          <w:szCs w:val="22"/>
        </w:rPr>
      </w:pPr>
      <w:r w:rsidRPr="00AF7733">
        <w:rPr>
          <w:rFonts w:ascii="Verdana" w:hAnsi="Verdana"/>
          <w:sz w:val="22"/>
          <w:szCs w:val="22"/>
        </w:rPr>
        <w:t xml:space="preserve">Pythagoras’ theorem was used to calculate the distance from each school to the nearest SHS in Kent. Each point on the map represents a secondary school and the colour corresponds to the distance to the nearest SHS. Schools shaded green are very close, within 0 to 4 km, to a SHS and those shaded red are furthest away from a SHS, 15 to 20 km away. </w:t>
      </w:r>
    </w:p>
    <w:p w14:paraId="5A8E802D" w14:textId="77777777" w:rsidR="00D15EDD" w:rsidRPr="00AF7733" w:rsidRDefault="00D15EDD" w:rsidP="00D15EDD">
      <w:pPr>
        <w:jc w:val="both"/>
        <w:rPr>
          <w:rFonts w:ascii="Verdana" w:hAnsi="Verdana"/>
          <w:sz w:val="22"/>
          <w:szCs w:val="22"/>
        </w:rPr>
      </w:pPr>
      <w:r w:rsidRPr="00AF7733">
        <w:rPr>
          <w:rFonts w:ascii="Verdana" w:hAnsi="Verdana"/>
          <w:sz w:val="22"/>
          <w:szCs w:val="22"/>
        </w:rPr>
        <w:t>There are clusters of schools that can be found 0 to 4 km from the nearest service, these schools are mainly in towns or built-up areas (this is typically where SHSs are based). Majority of secondary schools in Dartford and Gravesham are in close proximity to a SHS. Similarly, schools in Maidstone, Ashford and Than</w:t>
      </w:r>
      <w:r w:rsidR="00CF0D25" w:rsidRPr="00AF7733">
        <w:rPr>
          <w:rFonts w:ascii="Verdana" w:hAnsi="Verdana"/>
          <w:sz w:val="22"/>
          <w:szCs w:val="22"/>
        </w:rPr>
        <w:t>e</w:t>
      </w:r>
      <w:r w:rsidRPr="00AF7733">
        <w:rPr>
          <w:rFonts w:ascii="Verdana" w:hAnsi="Verdana"/>
          <w:sz w:val="22"/>
          <w:szCs w:val="22"/>
        </w:rPr>
        <w:t>t are close to SHSs. There are few secondary schools that are 15 to 20 km away from a service, although in general, schools along the coastal regions appear to be a little further from services, typically between 10 to 20 km away. This is important to note given there is no sexual health clinic in Dover currently, and several coastal districts have higher rates of under 18 conceptions compared to the Kent average.</w:t>
      </w:r>
    </w:p>
    <w:p w14:paraId="27D82E11" w14:textId="77777777" w:rsidR="00D15EDD" w:rsidRPr="00AF7733" w:rsidRDefault="00D15EDD" w:rsidP="00D15EDD">
      <w:pPr>
        <w:jc w:val="both"/>
        <w:rPr>
          <w:rFonts w:ascii="Verdana" w:hAnsi="Verdana"/>
          <w:sz w:val="22"/>
          <w:szCs w:val="22"/>
        </w:rPr>
      </w:pPr>
      <w:r w:rsidRPr="00AF7733">
        <w:rPr>
          <w:rFonts w:ascii="Verdana" w:hAnsi="Verdana"/>
          <w:sz w:val="22"/>
          <w:szCs w:val="22"/>
        </w:rPr>
        <w:t xml:space="preserve">Sevenoaks and Tonbridge and Malling also have schools further away from SHSs. It is important to note that for schools on the border of Kent their closest </w:t>
      </w:r>
      <w:r w:rsidRPr="00AF7733">
        <w:rPr>
          <w:rFonts w:ascii="Verdana" w:hAnsi="Verdana"/>
          <w:sz w:val="22"/>
          <w:szCs w:val="22"/>
        </w:rPr>
        <w:lastRenderedPageBreak/>
        <w:t xml:space="preserve">SHS may be in another local authority, but this will not be represented in the map. </w:t>
      </w:r>
    </w:p>
    <w:p w14:paraId="2B6C1559" w14:textId="77777777" w:rsidR="00B138F2" w:rsidRPr="00AF7733" w:rsidRDefault="356A15B6" w:rsidP="00D15EDD">
      <w:pPr>
        <w:jc w:val="both"/>
        <w:rPr>
          <w:rFonts w:ascii="Verdana" w:hAnsi="Verdana"/>
          <w:sz w:val="22"/>
          <w:szCs w:val="22"/>
        </w:rPr>
      </w:pPr>
      <w:r w:rsidRPr="00AF7733">
        <w:rPr>
          <w:rFonts w:ascii="Verdana" w:hAnsi="Verdana"/>
          <w:sz w:val="22"/>
          <w:szCs w:val="22"/>
        </w:rPr>
        <w:t xml:space="preserve">It is recommended that local services and commissioners have an awareness of service proximity to schools, in order to ensure outreach services are provided where required, in order to improve young people’s sexual health outcomes.  </w:t>
      </w:r>
    </w:p>
    <w:p w14:paraId="6C7BC2A2" w14:textId="77777777" w:rsidR="00D15EDD" w:rsidRPr="00AF7733" w:rsidRDefault="4EF7F2D2" w:rsidP="49636075">
      <w:pPr>
        <w:pStyle w:val="Heading2"/>
        <w:numPr>
          <w:ilvl w:val="0"/>
          <w:numId w:val="0"/>
        </w:numPr>
        <w:rPr>
          <w:rFonts w:ascii="Verdana" w:eastAsia="Verdana" w:hAnsi="Verdana" w:cs="Verdana"/>
          <w:sz w:val="22"/>
          <w:szCs w:val="22"/>
        </w:rPr>
      </w:pPr>
      <w:bookmarkStart w:id="17" w:name="_Toc1389887049"/>
      <w:r w:rsidRPr="136F3BEB">
        <w:rPr>
          <w:rFonts w:ascii="Verdana" w:hAnsi="Verdana"/>
          <w:sz w:val="22"/>
          <w:szCs w:val="22"/>
        </w:rPr>
        <w:t xml:space="preserve">3.2.2 </w:t>
      </w:r>
      <w:r w:rsidR="5EF89FB2" w:rsidRPr="136F3BEB">
        <w:rPr>
          <w:rFonts w:ascii="Verdana" w:eastAsia="Verdana" w:hAnsi="Verdana" w:cs="Verdana"/>
          <w:sz w:val="22"/>
          <w:szCs w:val="22"/>
        </w:rPr>
        <w:t>People living in deprived areas</w:t>
      </w:r>
      <w:bookmarkEnd w:id="17"/>
    </w:p>
    <w:p w14:paraId="62E6AFBE" w14:textId="77777777" w:rsidR="00D15EDD" w:rsidRPr="00AF7733" w:rsidRDefault="356A15B6" w:rsidP="00D15EDD">
      <w:pPr>
        <w:pStyle w:val="NormalWeb"/>
        <w:jc w:val="both"/>
        <w:rPr>
          <w:rFonts w:ascii="Verdana" w:hAnsi="Verdana" w:cstheme="minorBidi"/>
          <w:sz w:val="22"/>
          <w:szCs w:val="22"/>
        </w:rPr>
      </w:pPr>
      <w:r w:rsidRPr="00AF7733">
        <w:rPr>
          <w:rFonts w:ascii="Verdana" w:hAnsi="Verdana" w:cstheme="minorBidi"/>
          <w:sz w:val="22"/>
          <w:szCs w:val="22"/>
        </w:rPr>
        <w:t>Nationally, rates of new STI diagnoses are consistently higher in more deprived populations, as measured by the Index of Multiple Deprivation (IMD)</w:t>
      </w:r>
      <w:r w:rsidRPr="00AF7733">
        <w:rPr>
          <w:rStyle w:val="FootnoteReference"/>
          <w:rFonts w:ascii="Verdana" w:hAnsi="Verdana"/>
          <w:sz w:val="22"/>
          <w:szCs w:val="22"/>
        </w:rPr>
        <w:t>46</w:t>
      </w:r>
      <w:r w:rsidRPr="00AF7733">
        <w:rPr>
          <w:rFonts w:ascii="Verdana" w:hAnsi="Verdana" w:cstheme="minorBidi"/>
          <w:sz w:val="22"/>
          <w:szCs w:val="22"/>
        </w:rPr>
        <w:t>.</w:t>
      </w:r>
    </w:p>
    <w:p w14:paraId="46F105A2" w14:textId="77777777" w:rsidR="00D15EDD" w:rsidRPr="00AF7733" w:rsidRDefault="3C8158BE" w:rsidP="4A0F6D8A">
      <w:pPr>
        <w:pStyle w:val="NormalWeb"/>
        <w:jc w:val="both"/>
        <w:rPr>
          <w:rFonts w:ascii="Verdana" w:hAnsi="Verdana" w:cstheme="minorBidi"/>
          <w:sz w:val="22"/>
          <w:szCs w:val="22"/>
        </w:rPr>
      </w:pPr>
      <w:r w:rsidRPr="136F3BEB">
        <w:rPr>
          <w:rFonts w:ascii="Verdana" w:hAnsi="Verdana" w:cstheme="minorBidi"/>
          <w:sz w:val="22"/>
          <w:szCs w:val="22"/>
        </w:rPr>
        <w:t>The IMD is an area level measure of deprivation. Last updated in 2019, the index ranks the 32,844 neighbourhood areas, known as Lower Super Output Areas (LSOA), in England. Areas are ranked according to indicators in seven domains: barriers to housing and services, crime, education, employment, health, income and living environment</w:t>
      </w:r>
      <w:r w:rsidR="00D15EDD" w:rsidRPr="136F3BEB">
        <w:rPr>
          <w:rStyle w:val="FootnoteReference"/>
          <w:rFonts w:ascii="Verdana" w:hAnsi="Verdana" w:cstheme="minorBidi"/>
          <w:sz w:val="22"/>
          <w:szCs w:val="22"/>
        </w:rPr>
        <w:footnoteReference w:id="56"/>
      </w:r>
      <w:r w:rsidRPr="136F3BEB">
        <w:rPr>
          <w:rFonts w:ascii="Verdana" w:hAnsi="Verdana" w:cstheme="minorBidi"/>
          <w:sz w:val="22"/>
          <w:szCs w:val="22"/>
        </w:rPr>
        <w:t>. To simplify the ranking, deprivation deciles were created. Each small area is sorted into one of 10 equal groups ranging from the most deprived 10% (IMD decile 1) of small areas nationally, to the least deprived 10% (IMD decile 10).</w:t>
      </w:r>
    </w:p>
    <w:p w14:paraId="2771EA20" w14:textId="77777777" w:rsidR="00D15EDD" w:rsidRPr="00AF7733" w:rsidRDefault="75B3F0FC" w:rsidP="136F3BEB">
      <w:pPr>
        <w:pStyle w:val="NormalWeb"/>
        <w:jc w:val="both"/>
        <w:rPr>
          <w:rFonts w:ascii="Verdana" w:hAnsi="Verdana" w:cstheme="minorBidi"/>
          <w:b/>
          <w:bCs/>
          <w:sz w:val="22"/>
          <w:szCs w:val="22"/>
        </w:rPr>
      </w:pPr>
      <w:r w:rsidRPr="136F3BEB">
        <w:rPr>
          <w:rFonts w:ascii="Verdana" w:hAnsi="Verdana" w:cstheme="minorBidi"/>
          <w:b/>
          <w:bCs/>
          <w:sz w:val="22"/>
          <w:szCs w:val="22"/>
        </w:rPr>
        <w:t xml:space="preserve">Figure </w:t>
      </w:r>
      <w:r w:rsidR="4D2F210F" w:rsidRPr="136F3BEB">
        <w:rPr>
          <w:rFonts w:ascii="Verdana" w:hAnsi="Verdana" w:cstheme="minorBidi"/>
          <w:b/>
          <w:bCs/>
          <w:sz w:val="22"/>
          <w:szCs w:val="22"/>
        </w:rPr>
        <w:t>4</w:t>
      </w:r>
      <w:r w:rsidRPr="136F3BEB">
        <w:rPr>
          <w:rFonts w:ascii="Verdana" w:hAnsi="Verdana" w:cstheme="minorBidi"/>
          <w:b/>
          <w:bCs/>
          <w:sz w:val="22"/>
          <w:szCs w:val="22"/>
        </w:rPr>
        <w:t>: Map of Kent and Medway showing the IMD decile by Lower Super Output Area</w:t>
      </w:r>
    </w:p>
    <w:p w14:paraId="582F9209" w14:textId="77777777" w:rsidR="00D15EDD" w:rsidRPr="00AF7733" w:rsidRDefault="00D15EDD" w:rsidP="00D15EDD">
      <w:pPr>
        <w:pStyle w:val="NormalWeb"/>
        <w:jc w:val="both"/>
        <w:rPr>
          <w:rFonts w:ascii="Verdana" w:hAnsi="Verdana" w:cstheme="minorBidi"/>
          <w:sz w:val="22"/>
          <w:szCs w:val="22"/>
        </w:rPr>
      </w:pPr>
      <w:r w:rsidRPr="00AF7733">
        <w:rPr>
          <w:rFonts w:ascii="Verdana" w:hAnsi="Verdana" w:cstheme="minorHAnsi"/>
          <w:b/>
          <w:noProof/>
          <w:color w:val="2B579A"/>
          <w:sz w:val="22"/>
          <w:szCs w:val="22"/>
          <w:shd w:val="clear" w:color="auto" w:fill="E6E6E6"/>
          <w14:ligatures w14:val="standardContextual"/>
        </w:rPr>
        <w:drawing>
          <wp:inline distT="0" distB="0" distL="0" distR="0" wp14:anchorId="0FDCC34F" wp14:editId="233D5B1C">
            <wp:extent cx="5670550" cy="3495675"/>
            <wp:effectExtent l="0" t="0" r="6350" b="0"/>
            <wp:docPr id="1577785516" name="Picture 1" descr="A map of deprivation across K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85516" name="Picture 1" descr="A map of deprivation across Kent "/>
                    <pic:cNvPicPr/>
                  </pic:nvPicPr>
                  <pic:blipFill rotWithShape="1">
                    <a:blip r:embed="rId21" cstate="print">
                      <a:extLst>
                        <a:ext uri="{28A0092B-C50C-407E-A947-70E740481C1C}">
                          <a14:useLocalDpi xmlns:a14="http://schemas.microsoft.com/office/drawing/2010/main" val="0"/>
                        </a:ext>
                      </a:extLst>
                    </a:blip>
                    <a:srcRect b="8651"/>
                    <a:stretch/>
                  </pic:blipFill>
                  <pic:spPr bwMode="auto">
                    <a:xfrm>
                      <a:off x="0" y="0"/>
                      <a:ext cx="5670550" cy="3495675"/>
                    </a:xfrm>
                    <a:prstGeom prst="rect">
                      <a:avLst/>
                    </a:prstGeom>
                    <a:ln>
                      <a:noFill/>
                    </a:ln>
                    <a:extLst>
                      <a:ext uri="{53640926-AAD7-44D8-BBD7-CCE9431645EC}">
                        <a14:shadowObscured xmlns:a14="http://schemas.microsoft.com/office/drawing/2010/main"/>
                      </a:ext>
                    </a:extLst>
                  </pic:spPr>
                </pic:pic>
              </a:graphicData>
            </a:graphic>
          </wp:inline>
        </w:drawing>
      </w:r>
    </w:p>
    <w:p w14:paraId="340236E4" w14:textId="77777777" w:rsidR="00D15EDD" w:rsidRPr="00AF7733" w:rsidRDefault="119D080E" w:rsidP="136F3BEB">
      <w:pPr>
        <w:pStyle w:val="NormalWeb"/>
        <w:jc w:val="both"/>
        <w:rPr>
          <w:rFonts w:ascii="Verdana" w:hAnsi="Verdana" w:cstheme="minorBidi"/>
          <w:sz w:val="22"/>
          <w:szCs w:val="22"/>
        </w:rPr>
      </w:pPr>
      <w:r w:rsidRPr="136F3BEB">
        <w:rPr>
          <w:rFonts w:ascii="Verdana" w:hAnsi="Verdana" w:cstheme="minorBidi"/>
          <w:sz w:val="22"/>
          <w:szCs w:val="22"/>
        </w:rPr>
        <w:lastRenderedPageBreak/>
        <w:t>The map (</w:t>
      </w:r>
      <w:r w:rsidRPr="136F3BEB">
        <w:rPr>
          <w:rFonts w:ascii="Verdana" w:hAnsi="Verdana" w:cstheme="minorBidi"/>
          <w:b/>
          <w:bCs/>
          <w:sz w:val="22"/>
          <w:szCs w:val="22"/>
        </w:rPr>
        <w:t xml:space="preserve">Figure </w:t>
      </w:r>
      <w:r w:rsidR="0558570A" w:rsidRPr="136F3BEB">
        <w:rPr>
          <w:rFonts w:ascii="Verdana" w:hAnsi="Verdana" w:cstheme="minorBidi"/>
          <w:b/>
          <w:bCs/>
          <w:sz w:val="22"/>
          <w:szCs w:val="22"/>
        </w:rPr>
        <w:t>4</w:t>
      </w:r>
      <w:r w:rsidRPr="136F3BEB">
        <w:rPr>
          <w:rFonts w:ascii="Verdana" w:hAnsi="Verdana" w:cstheme="minorBidi"/>
          <w:sz w:val="22"/>
          <w:szCs w:val="22"/>
        </w:rPr>
        <w:t>) highlights the pattern of deprivation across Kent and Medway. The most deprived areas are darker and the least deprived areas are lighter. The highest levels of deprivation can be seen mainly in the coastal regions with some urban areas (particularly in Medway and Dartford Gravesham) having high levels of deprivation.</w:t>
      </w:r>
    </w:p>
    <w:p w14:paraId="54009794" w14:textId="77777777" w:rsidR="00D15EDD" w:rsidRPr="00AF7733" w:rsidRDefault="356A15B6" w:rsidP="4A0F6D8A">
      <w:pPr>
        <w:pStyle w:val="NormalWeb"/>
        <w:jc w:val="both"/>
        <w:rPr>
          <w:rFonts w:ascii="Verdana" w:hAnsi="Verdana" w:cstheme="minorBidi"/>
          <w:sz w:val="22"/>
          <w:szCs w:val="22"/>
        </w:rPr>
      </w:pPr>
      <w:r w:rsidRPr="00AF7733">
        <w:rPr>
          <w:rFonts w:ascii="Verdana" w:hAnsi="Verdana" w:cstheme="minorBidi"/>
          <w:sz w:val="22"/>
          <w:szCs w:val="22"/>
        </w:rPr>
        <w:t>Under 18 conceptions are associated with deprivation and this is reflected in the higher rates found in the relatively more deprived districts of Thanet, Ashford, Swale and Dover.</w:t>
      </w:r>
    </w:p>
    <w:p w14:paraId="35C3DEEF" w14:textId="77777777" w:rsidR="00D15EDD" w:rsidRPr="00AF7733" w:rsidRDefault="119D080E" w:rsidP="136F3BEB">
      <w:pPr>
        <w:pStyle w:val="NormalWeb"/>
        <w:jc w:val="both"/>
        <w:rPr>
          <w:rFonts w:ascii="Verdana" w:hAnsi="Verdana" w:cstheme="minorBidi"/>
          <w:sz w:val="22"/>
          <w:szCs w:val="22"/>
        </w:rPr>
      </w:pPr>
      <w:r w:rsidRPr="136F3BEB">
        <w:rPr>
          <w:rFonts w:ascii="Verdana" w:hAnsi="Verdana" w:cstheme="minorBidi"/>
          <w:sz w:val="22"/>
          <w:szCs w:val="22"/>
        </w:rPr>
        <w:t>STI’s diagnoses rates are also found proportionately differently in most to least de</w:t>
      </w:r>
      <w:r w:rsidR="00D82F92" w:rsidRPr="136F3BEB">
        <w:rPr>
          <w:rFonts w:ascii="Verdana" w:hAnsi="Verdana" w:cstheme="minorBidi"/>
          <w:sz w:val="22"/>
          <w:szCs w:val="22"/>
        </w:rPr>
        <w:t>p</w:t>
      </w:r>
      <w:r w:rsidRPr="136F3BEB">
        <w:rPr>
          <w:rFonts w:ascii="Verdana" w:hAnsi="Verdana" w:cstheme="minorBidi"/>
          <w:sz w:val="22"/>
          <w:szCs w:val="22"/>
        </w:rPr>
        <w:t>rived areas as demonstrated in the graph below</w:t>
      </w:r>
      <w:r w:rsidR="15BA939E" w:rsidRPr="136F3BEB">
        <w:rPr>
          <w:rFonts w:ascii="Verdana" w:hAnsi="Verdana" w:cstheme="minorBidi"/>
          <w:sz w:val="22"/>
          <w:szCs w:val="22"/>
        </w:rPr>
        <w:t xml:space="preserve"> (</w:t>
      </w:r>
      <w:r w:rsidR="15BA939E" w:rsidRPr="136F3BEB">
        <w:rPr>
          <w:rFonts w:ascii="Verdana" w:hAnsi="Verdana" w:cstheme="minorBidi"/>
          <w:b/>
          <w:bCs/>
          <w:sz w:val="22"/>
          <w:szCs w:val="22"/>
        </w:rPr>
        <w:t xml:space="preserve">Figure </w:t>
      </w:r>
      <w:r w:rsidR="752F6576" w:rsidRPr="136F3BEB">
        <w:rPr>
          <w:rFonts w:ascii="Verdana" w:hAnsi="Verdana" w:cstheme="minorBidi"/>
          <w:b/>
          <w:bCs/>
          <w:sz w:val="22"/>
          <w:szCs w:val="22"/>
        </w:rPr>
        <w:t>5</w:t>
      </w:r>
      <w:r w:rsidR="15BA939E" w:rsidRPr="136F3BEB">
        <w:rPr>
          <w:rFonts w:ascii="Verdana" w:hAnsi="Verdana" w:cstheme="minorBidi"/>
          <w:sz w:val="22"/>
          <w:szCs w:val="22"/>
        </w:rPr>
        <w:t>)</w:t>
      </w:r>
      <w:r w:rsidRPr="136F3BEB">
        <w:rPr>
          <w:rFonts w:ascii="Verdana" w:hAnsi="Verdana" w:cstheme="minorBidi"/>
          <w:sz w:val="22"/>
          <w:szCs w:val="22"/>
        </w:rPr>
        <w:t>.</w:t>
      </w:r>
      <w:r w:rsidR="6C2C38E9" w:rsidRPr="136F3BEB">
        <w:rPr>
          <w:rFonts w:ascii="Verdana" w:hAnsi="Verdana" w:cstheme="minorBidi"/>
          <w:sz w:val="22"/>
          <w:szCs w:val="22"/>
        </w:rPr>
        <w:t xml:space="preserve"> This suggests these areas should be a targeted focus to reduce under 18 conceptions and STI diagnoses.</w:t>
      </w:r>
      <w:r w:rsidRPr="136F3BEB">
        <w:rPr>
          <w:rFonts w:ascii="Verdana" w:hAnsi="Verdana" w:cstheme="minorBidi"/>
          <w:sz w:val="22"/>
          <w:szCs w:val="22"/>
        </w:rPr>
        <w:t xml:space="preserve"> </w:t>
      </w:r>
    </w:p>
    <w:p w14:paraId="364C4C51" w14:textId="77777777" w:rsidR="006370CB" w:rsidRDefault="006370CB">
      <w:pPr>
        <w:spacing w:before="0" w:after="200"/>
        <w:rPr>
          <w:rFonts w:ascii="Verdana" w:eastAsia="Times New Roman" w:hAnsi="Verdana" w:cstheme="minorBidi"/>
          <w:b/>
          <w:bCs/>
          <w:sz w:val="22"/>
          <w:szCs w:val="22"/>
        </w:rPr>
      </w:pPr>
      <w:r>
        <w:rPr>
          <w:rFonts w:ascii="Verdana" w:hAnsi="Verdana" w:cstheme="minorBidi"/>
          <w:b/>
          <w:bCs/>
          <w:sz w:val="22"/>
          <w:szCs w:val="22"/>
        </w:rPr>
        <w:br w:type="page"/>
      </w:r>
    </w:p>
    <w:p w14:paraId="2818A2EF" w14:textId="77777777" w:rsidR="00D15EDD" w:rsidRPr="00AF7733" w:rsidRDefault="75B3F0FC" w:rsidP="136F3BEB">
      <w:pPr>
        <w:pStyle w:val="NormalWeb"/>
        <w:jc w:val="both"/>
        <w:rPr>
          <w:rFonts w:ascii="Verdana" w:hAnsi="Verdana" w:cstheme="minorBidi"/>
          <w:sz w:val="22"/>
          <w:szCs w:val="22"/>
        </w:rPr>
      </w:pPr>
      <w:r w:rsidRPr="136F3BEB">
        <w:rPr>
          <w:rFonts w:ascii="Verdana" w:hAnsi="Verdana" w:cstheme="minorBidi"/>
          <w:b/>
          <w:bCs/>
          <w:sz w:val="22"/>
          <w:szCs w:val="22"/>
        </w:rPr>
        <w:lastRenderedPageBreak/>
        <w:t xml:space="preserve">Figure </w:t>
      </w:r>
      <w:r w:rsidR="45B7C2E4" w:rsidRPr="136F3BEB">
        <w:rPr>
          <w:rFonts w:ascii="Verdana" w:hAnsi="Verdana" w:cstheme="minorBidi"/>
          <w:b/>
          <w:bCs/>
          <w:sz w:val="22"/>
          <w:szCs w:val="22"/>
        </w:rPr>
        <w:t>5</w:t>
      </w:r>
      <w:r w:rsidRPr="136F3BEB">
        <w:rPr>
          <w:rFonts w:ascii="Verdana" w:hAnsi="Verdana" w:cstheme="minorBidi"/>
          <w:b/>
          <w:bCs/>
          <w:sz w:val="22"/>
          <w:szCs w:val="22"/>
        </w:rPr>
        <w:t>: STI diagnoses crude rate per 100,000 of population demonstrated per deprivation decile</w:t>
      </w:r>
    </w:p>
    <w:p w14:paraId="542F66B1" w14:textId="77777777" w:rsidR="00D15EDD" w:rsidRPr="00AF7733" w:rsidRDefault="00D15EDD" w:rsidP="00D15EDD">
      <w:pPr>
        <w:pStyle w:val="NormalWeb"/>
        <w:jc w:val="both"/>
        <w:rPr>
          <w:rFonts w:ascii="Verdana" w:hAnsi="Verdana"/>
          <w:sz w:val="22"/>
          <w:szCs w:val="22"/>
        </w:rPr>
      </w:pPr>
    </w:p>
    <w:p w14:paraId="39837329" w14:textId="77777777" w:rsidR="00C3119E" w:rsidRPr="00AF7733" w:rsidRDefault="00C3119E" w:rsidP="00D15EDD">
      <w:pPr>
        <w:pStyle w:val="NormalWeb"/>
        <w:jc w:val="both"/>
        <w:rPr>
          <w:rFonts w:ascii="Verdana" w:hAnsi="Verdana"/>
          <w:sz w:val="22"/>
          <w:szCs w:val="22"/>
        </w:rPr>
      </w:pPr>
      <w:r w:rsidRPr="0089791B">
        <w:rPr>
          <w:rFonts w:ascii="Verdana" w:hAnsi="Verdana"/>
          <w:noProof/>
          <w:sz w:val="22"/>
          <w:szCs w:val="22"/>
        </w:rPr>
        <w:drawing>
          <wp:inline distT="0" distB="0" distL="0" distR="0" wp14:anchorId="03DCF780" wp14:editId="4F0F9110">
            <wp:extent cx="5918200" cy="4298950"/>
            <wp:effectExtent l="0" t="0" r="6350" b="6350"/>
            <wp:docPr id="1842886226" name="Chart 1" descr="A graph showing the STI diagnoses in England by deprivation level. Overall STI diagnoses are higher in the more deprived areas compared to the less deprived areas.">
              <a:extLst xmlns:a="http://schemas.openxmlformats.org/drawingml/2006/main">
                <a:ext uri="{FF2B5EF4-FFF2-40B4-BE49-F238E27FC236}">
                  <a16:creationId xmlns:a16="http://schemas.microsoft.com/office/drawing/2014/main" id="{0C29852D-881E-2CDE-B3F2-2477D55087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2E5C417" w14:textId="77777777" w:rsidR="00D15EDD" w:rsidRPr="00AF7733" w:rsidRDefault="4886C4D3" w:rsidP="49636075">
      <w:pPr>
        <w:pStyle w:val="Heading2"/>
        <w:numPr>
          <w:ilvl w:val="0"/>
          <w:numId w:val="0"/>
        </w:numPr>
        <w:rPr>
          <w:rFonts w:ascii="Verdana" w:eastAsia="Verdana" w:hAnsi="Verdana" w:cs="Verdana"/>
          <w:sz w:val="22"/>
          <w:szCs w:val="22"/>
        </w:rPr>
      </w:pPr>
      <w:bookmarkStart w:id="18" w:name="_Toc281331297"/>
      <w:r w:rsidRPr="136F3BEB">
        <w:rPr>
          <w:rFonts w:ascii="Verdana" w:hAnsi="Verdana"/>
          <w:sz w:val="22"/>
          <w:szCs w:val="22"/>
        </w:rPr>
        <w:t xml:space="preserve">3.2.3 </w:t>
      </w:r>
      <w:r w:rsidR="5EF89FB2" w:rsidRPr="136F3BEB">
        <w:rPr>
          <w:rFonts w:ascii="Verdana" w:eastAsia="Verdana" w:hAnsi="Verdana" w:cs="Verdana"/>
          <w:sz w:val="22"/>
          <w:szCs w:val="22"/>
        </w:rPr>
        <w:t>Black and ethnic minority populations</w:t>
      </w:r>
      <w:bookmarkEnd w:id="18"/>
    </w:p>
    <w:p w14:paraId="43A051D0" w14:textId="77777777" w:rsidR="00D15EDD" w:rsidRPr="00AF7733" w:rsidRDefault="3C8158BE" w:rsidP="4A0F6D8A">
      <w:pPr>
        <w:pStyle w:val="NormalWeb"/>
        <w:jc w:val="both"/>
        <w:rPr>
          <w:rFonts w:ascii="Verdana" w:hAnsi="Verdana" w:cstheme="minorBidi"/>
          <w:sz w:val="22"/>
          <w:szCs w:val="22"/>
        </w:rPr>
      </w:pPr>
      <w:r w:rsidRPr="136F3BEB">
        <w:rPr>
          <w:rFonts w:ascii="Verdana" w:hAnsi="Verdana" w:cstheme="minorBidi"/>
          <w:sz w:val="22"/>
          <w:szCs w:val="22"/>
        </w:rPr>
        <w:t>National evidence showed black minority ethnic (BME) populations are disproportionately affected by STIs, in particular for gonorrhoea and trichomoniasis</w:t>
      </w:r>
      <w:r w:rsidRPr="136F3BEB">
        <w:rPr>
          <w:rStyle w:val="FootnoteReference"/>
          <w:rFonts w:ascii="Verdana" w:hAnsi="Verdana" w:cstheme="minorBidi"/>
          <w:sz w:val="22"/>
          <w:szCs w:val="22"/>
        </w:rPr>
        <w:t>4</w:t>
      </w:r>
      <w:r w:rsidRPr="00AF7733">
        <w:rPr>
          <w:rStyle w:val="FootnoteReference"/>
          <w:rFonts w:ascii="Verdana" w:hAnsi="Verdana"/>
          <w:sz w:val="22"/>
          <w:szCs w:val="22"/>
        </w:rPr>
        <w:t>9</w:t>
      </w:r>
      <w:r w:rsidRPr="136F3BEB">
        <w:rPr>
          <w:rFonts w:ascii="Verdana" w:hAnsi="Verdana" w:cstheme="minorBidi"/>
          <w:sz w:val="22"/>
          <w:szCs w:val="22"/>
        </w:rPr>
        <w:t>. Black African people are also more likely to be diagnosed with HIV at a late stage of infection</w:t>
      </w:r>
      <w:r w:rsidR="00D15EDD" w:rsidRPr="136F3BEB">
        <w:rPr>
          <w:rStyle w:val="FootnoteReference"/>
          <w:rFonts w:ascii="Verdana" w:hAnsi="Verdana" w:cstheme="minorBidi"/>
          <w:sz w:val="22"/>
          <w:szCs w:val="22"/>
        </w:rPr>
        <w:footnoteReference w:id="57"/>
      </w:r>
      <w:r w:rsidRPr="136F3BEB">
        <w:rPr>
          <w:rFonts w:ascii="Verdana" w:hAnsi="Verdana" w:cstheme="minorBidi"/>
          <w:sz w:val="22"/>
          <w:szCs w:val="22"/>
        </w:rPr>
        <w:t xml:space="preserve">. It is important to understand if this increased risk is seen locally in Kent. </w:t>
      </w:r>
    </w:p>
    <w:p w14:paraId="786F7FE3" w14:textId="77777777" w:rsidR="4A0F6D8A" w:rsidRPr="00AF7733" w:rsidRDefault="3C8158BE" w:rsidP="4A0F6D8A">
      <w:pPr>
        <w:pStyle w:val="NormalWeb"/>
        <w:jc w:val="both"/>
        <w:rPr>
          <w:rFonts w:ascii="Verdana" w:hAnsi="Verdana" w:cstheme="minorBidi"/>
          <w:sz w:val="22"/>
          <w:szCs w:val="22"/>
        </w:rPr>
      </w:pPr>
      <w:r w:rsidRPr="136F3BEB">
        <w:rPr>
          <w:rFonts w:ascii="Verdana" w:hAnsi="Verdana" w:cstheme="minorBidi"/>
          <w:sz w:val="22"/>
          <w:szCs w:val="22"/>
        </w:rPr>
        <w:t>In Kent, as of the 2021 Census</w:t>
      </w:r>
      <w:r w:rsidR="00D15EDD" w:rsidRPr="136F3BEB">
        <w:rPr>
          <w:rStyle w:val="FootnoteReference"/>
          <w:rFonts w:ascii="Verdana" w:hAnsi="Verdana" w:cstheme="minorBidi"/>
          <w:sz w:val="22"/>
          <w:szCs w:val="22"/>
        </w:rPr>
        <w:footnoteReference w:id="58"/>
      </w:r>
      <w:r w:rsidRPr="136F3BEB">
        <w:rPr>
          <w:rFonts w:ascii="Verdana" w:hAnsi="Verdana" w:cstheme="minorBidi"/>
          <w:sz w:val="22"/>
          <w:szCs w:val="22"/>
        </w:rPr>
        <w:t>, 89.4% of residents were White, 4.4% Asian, 2.6% Black, 2.3% Mixed or Multiple ethnic groups and 1.2% identified as an Other ethnic group.</w:t>
      </w:r>
    </w:p>
    <w:p w14:paraId="688A2AD0" w14:textId="77777777" w:rsidR="4A0F6D8A" w:rsidRPr="00AF7733" w:rsidRDefault="356A15B6" w:rsidP="4A0F6D8A">
      <w:pPr>
        <w:pStyle w:val="NormalWeb"/>
        <w:jc w:val="both"/>
        <w:rPr>
          <w:rFonts w:ascii="Verdana" w:hAnsi="Verdana" w:cstheme="minorBidi"/>
          <w:sz w:val="22"/>
          <w:szCs w:val="22"/>
        </w:rPr>
      </w:pPr>
      <w:r w:rsidRPr="00AF7733">
        <w:rPr>
          <w:rFonts w:ascii="Verdana" w:hAnsi="Verdana" w:cstheme="minorBidi"/>
          <w:sz w:val="22"/>
          <w:szCs w:val="22"/>
        </w:rPr>
        <w:t xml:space="preserve">In the 2024 KCC commissioned insights work, ethnic minority groups made up almost 20% of the survey responses, however most of these individuals had not accessed sexual health services. Key themes were ensuring that support is </w:t>
      </w:r>
      <w:r w:rsidRPr="00AF7733">
        <w:rPr>
          <w:rFonts w:ascii="Verdana" w:hAnsi="Verdana" w:cstheme="minorBidi"/>
          <w:sz w:val="22"/>
          <w:szCs w:val="22"/>
        </w:rPr>
        <w:lastRenderedPageBreak/>
        <w:t>received from someone who understands their culture and community, and barriers to using sexual health services as a result of lack of openness of discussions around sexual health within certain communities.</w:t>
      </w:r>
    </w:p>
    <w:p w14:paraId="17995770" w14:textId="77777777" w:rsidR="00D15EDD" w:rsidRPr="00AF7733" w:rsidRDefault="1792775F" w:rsidP="49636075">
      <w:pPr>
        <w:pStyle w:val="Heading2"/>
        <w:numPr>
          <w:ilvl w:val="0"/>
          <w:numId w:val="0"/>
        </w:numPr>
        <w:rPr>
          <w:rFonts w:ascii="Verdana" w:eastAsia="Verdana" w:hAnsi="Verdana" w:cs="Verdana"/>
          <w:sz w:val="22"/>
          <w:szCs w:val="22"/>
        </w:rPr>
      </w:pPr>
      <w:bookmarkStart w:id="19" w:name="_Toc1565549489"/>
      <w:r w:rsidRPr="136F3BEB">
        <w:rPr>
          <w:rFonts w:ascii="Verdana" w:hAnsi="Verdana"/>
          <w:sz w:val="22"/>
          <w:szCs w:val="22"/>
        </w:rPr>
        <w:t xml:space="preserve">3.2.4 </w:t>
      </w:r>
      <w:r w:rsidR="5EF89FB2" w:rsidRPr="136F3BEB">
        <w:rPr>
          <w:rFonts w:ascii="Verdana" w:eastAsia="Verdana" w:hAnsi="Verdana" w:cs="Verdana"/>
          <w:sz w:val="22"/>
          <w:szCs w:val="22"/>
        </w:rPr>
        <w:t>Migrant population</w:t>
      </w:r>
      <w:bookmarkEnd w:id="19"/>
    </w:p>
    <w:p w14:paraId="70BC3069" w14:textId="6F08406B" w:rsidR="4A0F6D8A" w:rsidRPr="00AF7733" w:rsidRDefault="3C8158BE" w:rsidP="7FF55879">
      <w:pPr>
        <w:pStyle w:val="NormalWeb"/>
        <w:jc w:val="both"/>
        <w:rPr>
          <w:rFonts w:ascii="Verdana" w:hAnsi="Verdana" w:cstheme="minorBidi"/>
          <w:sz w:val="22"/>
          <w:szCs w:val="22"/>
        </w:rPr>
      </w:pPr>
      <w:r w:rsidRPr="136F3BEB">
        <w:rPr>
          <w:rFonts w:ascii="Verdana" w:hAnsi="Verdana" w:cstheme="minorBidi"/>
          <w:sz w:val="22"/>
          <w:szCs w:val="22"/>
        </w:rPr>
        <w:t xml:space="preserve">In 2021, insight work was undertaken by the SHIFT (Sexual Health In the over </w:t>
      </w:r>
      <w:r w:rsidR="00F42E4B" w:rsidRPr="136F3BEB">
        <w:rPr>
          <w:rFonts w:ascii="Verdana" w:hAnsi="Verdana" w:cstheme="minorBidi"/>
          <w:sz w:val="22"/>
          <w:szCs w:val="22"/>
        </w:rPr>
        <w:t>Forty-fives</w:t>
      </w:r>
      <w:r w:rsidRPr="136F3BEB">
        <w:rPr>
          <w:rFonts w:ascii="Verdana" w:hAnsi="Verdana" w:cstheme="minorBidi"/>
          <w:sz w:val="22"/>
          <w:szCs w:val="22"/>
        </w:rPr>
        <w:t>) project into sexual health and wellbeing for migrants living in Kent aged over 45 years</w:t>
      </w:r>
      <w:r w:rsidR="00D15EDD" w:rsidRPr="136F3BEB">
        <w:rPr>
          <w:rStyle w:val="FootnoteReference"/>
          <w:rFonts w:ascii="Verdana" w:hAnsi="Verdana" w:cstheme="minorBidi"/>
          <w:sz w:val="22"/>
          <w:szCs w:val="22"/>
        </w:rPr>
        <w:footnoteReference w:id="59"/>
      </w:r>
      <w:r w:rsidRPr="136F3BEB">
        <w:rPr>
          <w:rFonts w:ascii="Verdana" w:hAnsi="Verdana" w:cstheme="minorBidi"/>
          <w:sz w:val="22"/>
          <w:szCs w:val="22"/>
        </w:rPr>
        <w:t xml:space="preserve">. This was a cross-border partnership between nine organisations to address inequalities in sexual health and wellbeing in over 45s and marginalised populations. The insights work included semi-structured interviews with 22 migrants in Kent. Most participants were well established in the UK and had moderate to good use of spoken and written English, meaning perspectives of recently arrived migrants were not captured in this work.  </w:t>
      </w:r>
    </w:p>
    <w:p w14:paraId="7E9A2C58" w14:textId="77777777" w:rsidR="4A0F6D8A" w:rsidRPr="00AF7733" w:rsidRDefault="356A15B6" w:rsidP="4A0F6D8A">
      <w:pPr>
        <w:pStyle w:val="NormalWeb"/>
        <w:jc w:val="both"/>
        <w:rPr>
          <w:rFonts w:ascii="Verdana" w:hAnsi="Verdana" w:cstheme="minorBidi"/>
          <w:sz w:val="22"/>
          <w:szCs w:val="22"/>
        </w:rPr>
      </w:pPr>
      <w:r w:rsidRPr="00AF7733">
        <w:rPr>
          <w:rFonts w:ascii="Verdana" w:hAnsi="Verdana" w:cstheme="minorBidi"/>
          <w:sz w:val="22"/>
          <w:szCs w:val="22"/>
        </w:rPr>
        <w:t>Newer migrants surveyed reported sometimes having difficulty registering with NHS services. Other barriers for engaging with local services included lack of out of working hours access and the need for childcare to attend appointments. Language barriers were mentioned as a barrier to using at home STI testing kits, with concern about trouble reading the instructions.</w:t>
      </w:r>
    </w:p>
    <w:p w14:paraId="7BA42413" w14:textId="77777777" w:rsidR="4A0F6D8A" w:rsidRPr="00AF7733" w:rsidRDefault="356A15B6" w:rsidP="4A0F6D8A">
      <w:pPr>
        <w:pStyle w:val="NormalWeb"/>
        <w:jc w:val="both"/>
        <w:rPr>
          <w:rFonts w:ascii="Verdana" w:hAnsi="Verdana" w:cstheme="minorBidi"/>
          <w:sz w:val="22"/>
          <w:szCs w:val="22"/>
        </w:rPr>
      </w:pPr>
      <w:r w:rsidRPr="00AF7733">
        <w:rPr>
          <w:rFonts w:ascii="Verdana" w:hAnsi="Verdana" w:cstheme="minorBidi"/>
          <w:sz w:val="22"/>
          <w:szCs w:val="22"/>
        </w:rPr>
        <w:t>There was some complacency that STIs would not affect them with some believing that symptoms of STIs would always be present. Lack of need was cited as a reason for not accessing sexual health services, with many of those surveyed not perceiving themselves as at risk of poor sexual health and therefore not needing to use sexual health services. Some women mentioned cultural concerns about their husbands not wanting them to be using STI testing kits or asking questions about accessing sexual health services.</w:t>
      </w:r>
    </w:p>
    <w:p w14:paraId="6308F3B2" w14:textId="77777777" w:rsidR="00D15EDD" w:rsidRPr="00AF7733" w:rsidRDefault="00D15EDD" w:rsidP="00D15EDD">
      <w:pPr>
        <w:pStyle w:val="NormalWeb"/>
        <w:jc w:val="both"/>
        <w:rPr>
          <w:rFonts w:ascii="Verdana" w:hAnsi="Verdana" w:cstheme="minorBidi"/>
          <w:sz w:val="22"/>
          <w:szCs w:val="22"/>
        </w:rPr>
      </w:pPr>
      <w:r w:rsidRPr="00AF7733">
        <w:rPr>
          <w:rFonts w:ascii="Verdana" w:hAnsi="Verdana" w:cstheme="minorBidi"/>
          <w:sz w:val="22"/>
          <w:szCs w:val="22"/>
        </w:rPr>
        <w:t>Participants were also able to offer some solutions to the barriers they described in accessing sexual health. These included:</w:t>
      </w:r>
    </w:p>
    <w:p w14:paraId="6979EB2C" w14:textId="77777777" w:rsidR="00D15EDD" w:rsidRPr="00AF7733" w:rsidRDefault="00D15EDD" w:rsidP="00F8351F">
      <w:pPr>
        <w:pStyle w:val="NormalWeb"/>
        <w:numPr>
          <w:ilvl w:val="0"/>
          <w:numId w:val="6"/>
        </w:numPr>
        <w:jc w:val="both"/>
        <w:rPr>
          <w:rFonts w:ascii="Verdana" w:hAnsi="Verdana" w:cstheme="minorBidi"/>
          <w:sz w:val="22"/>
          <w:szCs w:val="22"/>
        </w:rPr>
      </w:pPr>
      <w:r w:rsidRPr="00AF7733">
        <w:rPr>
          <w:rFonts w:ascii="Verdana" w:hAnsi="Verdana" w:cstheme="minorBidi"/>
          <w:sz w:val="22"/>
          <w:szCs w:val="22"/>
        </w:rPr>
        <w:t>Improving translation services and awareness of them, providing information in other languages, bearing in mind that sexual health language and terminology does not translate well into all languages</w:t>
      </w:r>
      <w:r w:rsidR="00730584" w:rsidRPr="00AF7733">
        <w:rPr>
          <w:rFonts w:ascii="Verdana" w:hAnsi="Verdana" w:cstheme="minorBidi"/>
          <w:sz w:val="22"/>
          <w:szCs w:val="22"/>
        </w:rPr>
        <w:t>.</w:t>
      </w:r>
    </w:p>
    <w:p w14:paraId="053FEC53" w14:textId="77777777" w:rsidR="00D15EDD" w:rsidRPr="00AF7733" w:rsidRDefault="00D15EDD" w:rsidP="00F8351F">
      <w:pPr>
        <w:pStyle w:val="NormalWeb"/>
        <w:numPr>
          <w:ilvl w:val="0"/>
          <w:numId w:val="6"/>
        </w:numPr>
        <w:jc w:val="both"/>
        <w:rPr>
          <w:rFonts w:ascii="Verdana" w:hAnsi="Verdana" w:cstheme="minorBidi"/>
          <w:sz w:val="22"/>
          <w:szCs w:val="22"/>
        </w:rPr>
      </w:pPr>
      <w:r w:rsidRPr="00AF7733">
        <w:rPr>
          <w:rFonts w:ascii="Verdana" w:hAnsi="Verdana" w:cstheme="minorBidi"/>
          <w:sz w:val="22"/>
          <w:szCs w:val="22"/>
        </w:rPr>
        <w:t>Practicing discretion and recognising that many in migrant communities feel uncomfortable discussing sexual health and interacting with sexual health services</w:t>
      </w:r>
      <w:r w:rsidR="00730584" w:rsidRPr="00AF7733">
        <w:rPr>
          <w:rFonts w:ascii="Verdana" w:hAnsi="Verdana" w:cstheme="minorBidi"/>
          <w:sz w:val="22"/>
          <w:szCs w:val="22"/>
        </w:rPr>
        <w:t>.</w:t>
      </w:r>
    </w:p>
    <w:p w14:paraId="0059F0DE" w14:textId="77777777" w:rsidR="00D15EDD" w:rsidRPr="00AF7733" w:rsidRDefault="00D15EDD" w:rsidP="00F8351F">
      <w:pPr>
        <w:pStyle w:val="NormalWeb"/>
        <w:numPr>
          <w:ilvl w:val="0"/>
          <w:numId w:val="6"/>
        </w:numPr>
        <w:jc w:val="both"/>
        <w:rPr>
          <w:rFonts w:ascii="Verdana" w:hAnsi="Verdana" w:cstheme="minorBidi"/>
          <w:sz w:val="22"/>
          <w:szCs w:val="22"/>
        </w:rPr>
      </w:pPr>
      <w:r w:rsidRPr="00AF7733">
        <w:rPr>
          <w:rFonts w:ascii="Verdana" w:hAnsi="Verdana" w:cstheme="minorBidi"/>
          <w:sz w:val="22"/>
          <w:szCs w:val="22"/>
        </w:rPr>
        <w:t>Using methods of communication that communities engage, including local radio stations, social media channels and using events with music and activities</w:t>
      </w:r>
      <w:r w:rsidR="00730584" w:rsidRPr="00AF7733">
        <w:rPr>
          <w:rFonts w:ascii="Verdana" w:hAnsi="Verdana" w:cstheme="minorBidi"/>
          <w:sz w:val="22"/>
          <w:szCs w:val="22"/>
        </w:rPr>
        <w:t>.</w:t>
      </w:r>
      <w:r w:rsidRPr="00AF7733">
        <w:rPr>
          <w:rFonts w:ascii="Verdana" w:hAnsi="Verdana" w:cstheme="minorBidi"/>
          <w:sz w:val="22"/>
          <w:szCs w:val="22"/>
        </w:rPr>
        <w:t xml:space="preserve"> </w:t>
      </w:r>
    </w:p>
    <w:p w14:paraId="157A176B" w14:textId="77777777" w:rsidR="4A0F6D8A" w:rsidRPr="00AF7733" w:rsidRDefault="356A15B6" w:rsidP="00F8351F">
      <w:pPr>
        <w:pStyle w:val="NormalWeb"/>
        <w:numPr>
          <w:ilvl w:val="0"/>
          <w:numId w:val="6"/>
        </w:numPr>
        <w:jc w:val="both"/>
        <w:rPr>
          <w:rFonts w:ascii="Verdana" w:hAnsi="Verdana" w:cstheme="minorBidi"/>
          <w:sz w:val="22"/>
          <w:szCs w:val="22"/>
        </w:rPr>
      </w:pPr>
      <w:r w:rsidRPr="00AF7733">
        <w:rPr>
          <w:rFonts w:ascii="Verdana" w:hAnsi="Verdana" w:cstheme="minorBidi"/>
          <w:sz w:val="22"/>
          <w:szCs w:val="22"/>
        </w:rPr>
        <w:t>Inviting health professionals into the community to talk about sexual health and using key figures in the community to improve perceptions on sexual health</w:t>
      </w:r>
      <w:r w:rsidR="00730584" w:rsidRPr="00AF7733">
        <w:rPr>
          <w:rFonts w:ascii="Verdana" w:hAnsi="Verdana" w:cstheme="minorBidi"/>
          <w:sz w:val="22"/>
          <w:szCs w:val="22"/>
        </w:rPr>
        <w:t>.</w:t>
      </w:r>
    </w:p>
    <w:p w14:paraId="07E12224" w14:textId="77777777" w:rsidR="4A0F6D8A" w:rsidRPr="00AF7733" w:rsidRDefault="356A15B6" w:rsidP="4A0F6D8A">
      <w:pPr>
        <w:pStyle w:val="NormalWeb"/>
        <w:jc w:val="both"/>
        <w:rPr>
          <w:rFonts w:ascii="Verdana" w:hAnsi="Verdana" w:cstheme="minorBidi"/>
          <w:sz w:val="22"/>
          <w:szCs w:val="22"/>
        </w:rPr>
      </w:pPr>
      <w:r w:rsidRPr="00AF7733">
        <w:rPr>
          <w:rFonts w:ascii="Verdana" w:hAnsi="Verdana" w:cstheme="minorBidi"/>
          <w:sz w:val="22"/>
          <w:szCs w:val="22"/>
        </w:rPr>
        <w:t>Outreach work of our providers have aimed to engage with migrant populations and regular sessions have been set up in some settings to give sexual health advice and support, for example Napier Barracks, and Milbank UASC Centre</w:t>
      </w:r>
    </w:p>
    <w:p w14:paraId="62E77EBF" w14:textId="77777777" w:rsidR="00D15EDD" w:rsidRPr="00AF7733" w:rsidRDefault="676D78C2" w:rsidP="49636075">
      <w:pPr>
        <w:pStyle w:val="Heading2"/>
        <w:numPr>
          <w:ilvl w:val="0"/>
          <w:numId w:val="0"/>
        </w:numPr>
        <w:rPr>
          <w:rFonts w:ascii="Verdana" w:eastAsia="Verdana" w:hAnsi="Verdana" w:cs="Verdana"/>
          <w:sz w:val="22"/>
          <w:szCs w:val="22"/>
        </w:rPr>
      </w:pPr>
      <w:bookmarkStart w:id="20" w:name="_Toc2083857238"/>
      <w:r w:rsidRPr="136F3BEB">
        <w:rPr>
          <w:rFonts w:ascii="Verdana" w:hAnsi="Verdana"/>
          <w:sz w:val="22"/>
          <w:szCs w:val="22"/>
        </w:rPr>
        <w:lastRenderedPageBreak/>
        <w:t xml:space="preserve">3.2.5 </w:t>
      </w:r>
      <w:r w:rsidR="5EF89FB2" w:rsidRPr="136F3BEB">
        <w:rPr>
          <w:rFonts w:ascii="Verdana" w:eastAsia="Verdana" w:hAnsi="Verdana" w:cs="Verdana"/>
          <w:sz w:val="22"/>
          <w:szCs w:val="22"/>
        </w:rPr>
        <w:t>LGBTQ+ people</w:t>
      </w:r>
      <w:bookmarkEnd w:id="20"/>
    </w:p>
    <w:p w14:paraId="65F65635" w14:textId="77777777" w:rsidR="4A0F6D8A" w:rsidRPr="00AF7733" w:rsidRDefault="3C8158BE" w:rsidP="7FF55879">
      <w:pPr>
        <w:pStyle w:val="NormalWeb"/>
        <w:jc w:val="both"/>
        <w:rPr>
          <w:rFonts w:ascii="Verdana" w:hAnsi="Verdana" w:cstheme="minorBidi"/>
          <w:sz w:val="22"/>
          <w:szCs w:val="22"/>
        </w:rPr>
      </w:pPr>
      <w:r w:rsidRPr="136F3BEB">
        <w:rPr>
          <w:rFonts w:ascii="Verdana" w:hAnsi="Verdana" w:cstheme="minorBidi"/>
          <w:sz w:val="22"/>
          <w:szCs w:val="22"/>
        </w:rPr>
        <w:t>Gay, bisexual and other MSM are more likely to be diagnosed with bacterial STIs</w:t>
      </w:r>
      <w:r w:rsidR="00D15EDD" w:rsidRPr="136F3BEB">
        <w:rPr>
          <w:rStyle w:val="FootnoteReference"/>
          <w:rFonts w:ascii="Verdana" w:hAnsi="Verdana" w:cstheme="minorBidi"/>
          <w:sz w:val="22"/>
          <w:szCs w:val="22"/>
        </w:rPr>
        <w:footnoteReference w:id="60"/>
      </w:r>
      <w:r w:rsidRPr="136F3BEB">
        <w:rPr>
          <w:rFonts w:ascii="Verdana" w:hAnsi="Verdana" w:cstheme="minorBidi"/>
          <w:sz w:val="22"/>
          <w:szCs w:val="22"/>
        </w:rPr>
        <w:t xml:space="preserve">. </w:t>
      </w:r>
    </w:p>
    <w:p w14:paraId="36562617" w14:textId="77777777" w:rsidR="4A0F6D8A" w:rsidRPr="00AF7733" w:rsidRDefault="356A15B6" w:rsidP="4A0F6D8A">
      <w:pPr>
        <w:pStyle w:val="NormalWeb"/>
        <w:jc w:val="both"/>
        <w:rPr>
          <w:rFonts w:ascii="Verdana" w:hAnsi="Verdana" w:cstheme="minorBidi"/>
          <w:sz w:val="22"/>
          <w:szCs w:val="22"/>
        </w:rPr>
      </w:pPr>
      <w:r w:rsidRPr="00AF7733">
        <w:rPr>
          <w:rFonts w:ascii="Verdana" w:hAnsi="Verdana" w:cstheme="minorBidi"/>
          <w:sz w:val="22"/>
          <w:szCs w:val="22"/>
        </w:rPr>
        <w:t xml:space="preserve">According to the 2021 census, 90.6% of the population in Kent (aged 16 and above) identifies as straight or heterosexual, less than 2.4% of the population identifies as homosexual or bisexual and less than 1% identify as having other sexual orientation. Additionally, less than 1% of people identify as transgender or having a different gender identity from birth. This is similar to the national population. </w:t>
      </w:r>
    </w:p>
    <w:p w14:paraId="22001D58" w14:textId="77777777" w:rsidR="7FF55879" w:rsidRPr="00AF7733" w:rsidRDefault="4061F65F" w:rsidP="7FF55879">
      <w:pPr>
        <w:pStyle w:val="NormalWeb"/>
        <w:jc w:val="both"/>
        <w:rPr>
          <w:rFonts w:ascii="Verdana" w:hAnsi="Verdana" w:cstheme="minorBidi"/>
          <w:sz w:val="22"/>
          <w:szCs w:val="22"/>
        </w:rPr>
      </w:pPr>
      <w:r w:rsidRPr="00AF7733">
        <w:rPr>
          <w:rFonts w:ascii="Verdana" w:hAnsi="Verdana" w:cstheme="minorBidi"/>
          <w:sz w:val="22"/>
          <w:szCs w:val="22"/>
        </w:rPr>
        <w:t xml:space="preserve">Comparing the demographics for Kent with proportions of people accessing the integrated sexual health service, LGBTQ+ people are over-represented. In East Kent in 2022/23, 78.6% of attendees were heterosexual, 13.5% gay or lesbian, 5% bisexual (with 2.9% other/not recorded/declined to answer) and in North and West Kent, 86.9% were heterosexual, 8.3% gay or lesbian, 4.2% bisexual (with 0.5% other/not recorded/declined to answer).  </w:t>
      </w:r>
    </w:p>
    <w:p w14:paraId="79727C67" w14:textId="77777777" w:rsidR="311325A6" w:rsidRPr="00AF7733" w:rsidRDefault="39DED0B2" w:rsidP="311325A6">
      <w:pPr>
        <w:pStyle w:val="NormalWeb"/>
        <w:jc w:val="both"/>
        <w:rPr>
          <w:rFonts w:ascii="Verdana" w:hAnsi="Verdana" w:cstheme="minorBidi"/>
          <w:sz w:val="22"/>
          <w:szCs w:val="22"/>
        </w:rPr>
      </w:pPr>
      <w:r w:rsidRPr="00AF7733">
        <w:rPr>
          <w:rFonts w:ascii="Verdana" w:hAnsi="Verdana" w:cstheme="minorBidi"/>
          <w:sz w:val="22"/>
          <w:szCs w:val="22"/>
        </w:rPr>
        <w:t xml:space="preserve">NICE quality standards indicate that to </w:t>
      </w:r>
      <w:r w:rsidR="26898920" w:rsidRPr="00AF7733">
        <w:rPr>
          <w:rFonts w:ascii="Verdana" w:hAnsi="Verdana" w:cstheme="minorBidi"/>
          <w:sz w:val="22"/>
          <w:szCs w:val="22"/>
        </w:rPr>
        <w:t>help prevent spread of infections in the MSM community, testing should be carried out every 3 months. Therefore, this report recommends that this becomes a KPI for ISHS and online testing service.</w:t>
      </w:r>
    </w:p>
    <w:p w14:paraId="381B678A" w14:textId="0493C464" w:rsidR="7FF55879" w:rsidRPr="00AF7733" w:rsidRDefault="3C8158BE" w:rsidP="7FF55879">
      <w:pPr>
        <w:pStyle w:val="NormalWeb"/>
        <w:jc w:val="both"/>
        <w:rPr>
          <w:rFonts w:ascii="Verdana" w:hAnsi="Verdana" w:cstheme="minorBidi"/>
          <w:sz w:val="22"/>
          <w:szCs w:val="22"/>
        </w:rPr>
      </w:pPr>
      <w:r w:rsidRPr="136F3BEB">
        <w:rPr>
          <w:rFonts w:ascii="Verdana" w:hAnsi="Verdana" w:cstheme="minorBidi"/>
          <w:sz w:val="22"/>
          <w:szCs w:val="22"/>
        </w:rPr>
        <w:t>In the 2024 KCC commissioned insights work, face to face engagement with gay men led to discussions around chemsex (referring to the use of drugs in sexualized settings, most often in gay and bisexual men</w:t>
      </w:r>
      <w:r w:rsidR="00D15EDD" w:rsidRPr="136F3BEB">
        <w:rPr>
          <w:rStyle w:val="FootnoteReference"/>
          <w:rFonts w:ascii="Verdana" w:hAnsi="Verdana" w:cstheme="minorBidi"/>
          <w:sz w:val="22"/>
          <w:szCs w:val="22"/>
        </w:rPr>
        <w:footnoteReference w:id="61"/>
      </w:r>
      <w:r w:rsidRPr="136F3BEB">
        <w:rPr>
          <w:rFonts w:ascii="Verdana" w:hAnsi="Verdana" w:cstheme="minorBidi"/>
          <w:sz w:val="22"/>
          <w:szCs w:val="22"/>
        </w:rPr>
        <w:t xml:space="preserve">) and resulting issues with consent and use of protection during sex. Other key themes arising from surveys and discussions with LGBTQ+ groups were increasing access to sex </w:t>
      </w:r>
      <w:r w:rsidR="007F7390">
        <w:rPr>
          <w:rFonts w:ascii="Verdana" w:hAnsi="Verdana" w:cstheme="minorBidi"/>
          <w:sz w:val="22"/>
          <w:szCs w:val="22"/>
        </w:rPr>
        <w:t xml:space="preserve">and relationship </w:t>
      </w:r>
      <w:r w:rsidRPr="136F3BEB">
        <w:rPr>
          <w:rFonts w:ascii="Verdana" w:hAnsi="Verdana" w:cstheme="minorBidi"/>
          <w:sz w:val="22"/>
          <w:szCs w:val="22"/>
        </w:rPr>
        <w:t xml:space="preserve">education for gay students including use of protection in relationships with two women, and promotion of healthy sex and relationships. A reliance on testing instead of use of protection was raised. In terms of sexual health services, a lack of awareness of services available existed, with barriers to use including judgement about sexual orientation. </w:t>
      </w:r>
    </w:p>
    <w:p w14:paraId="0E5FF72C" w14:textId="77777777" w:rsidR="4A0F6D8A" w:rsidRPr="00AF7733" w:rsidRDefault="3C8158BE" w:rsidP="4A0F6D8A">
      <w:pPr>
        <w:pStyle w:val="NormalWeb"/>
        <w:jc w:val="both"/>
        <w:rPr>
          <w:rFonts w:ascii="Verdana" w:hAnsi="Verdana" w:cstheme="minorBidi"/>
          <w:sz w:val="22"/>
          <w:szCs w:val="22"/>
        </w:rPr>
      </w:pPr>
      <w:r w:rsidRPr="136F3BEB">
        <w:rPr>
          <w:rFonts w:ascii="Verdana" w:hAnsi="Verdana" w:cstheme="minorBidi"/>
          <w:sz w:val="22"/>
          <w:szCs w:val="22"/>
        </w:rPr>
        <w:t>Research by the UKHSA</w:t>
      </w:r>
      <w:r w:rsidR="00D15EDD" w:rsidRPr="136F3BEB">
        <w:rPr>
          <w:rStyle w:val="FootnoteReference"/>
          <w:rFonts w:ascii="Verdana" w:hAnsi="Verdana" w:cstheme="minorBidi"/>
          <w:sz w:val="22"/>
          <w:szCs w:val="22"/>
        </w:rPr>
        <w:footnoteReference w:id="62"/>
      </w:r>
      <w:r w:rsidRPr="136F3BEB">
        <w:rPr>
          <w:rFonts w:ascii="Verdana" w:hAnsi="Verdana" w:cstheme="minorBidi"/>
          <w:sz w:val="22"/>
          <w:szCs w:val="22"/>
        </w:rPr>
        <w:t xml:space="preserve"> was carried out in 2024 to understand the barriers and facilitators in sexual health promotion for LQBTQ+ inclusion health groups. Barriers included stigma around their LGBTQ+ identity, difficulty obtaining sexual health support which had worsened due to reductions in walk-in clinics since the COVID-19 pandemic and negative experiences with sexual health professionals including a lack of knowledge about LGBTQ+ issues and use of inappropriate language. Facilitators included use of peer support roles in sexual health services, improved access to services via both use of online services and the use of walk-in clinics when required. More positive experiences with professionals took place within sexual health clinics compared to non-specialist services.</w:t>
      </w:r>
    </w:p>
    <w:p w14:paraId="129A04E4" w14:textId="77777777" w:rsidR="4A0F6D8A" w:rsidRPr="00AF7733" w:rsidRDefault="00C53D80" w:rsidP="4A0F6D8A">
      <w:pPr>
        <w:pStyle w:val="NormalWeb"/>
        <w:jc w:val="both"/>
        <w:rPr>
          <w:rFonts w:ascii="Verdana" w:hAnsi="Verdana" w:cstheme="minorBidi"/>
          <w:sz w:val="22"/>
          <w:szCs w:val="22"/>
        </w:rPr>
      </w:pPr>
      <w:r w:rsidRPr="0089791B">
        <w:rPr>
          <w:rFonts w:ascii="Verdana" w:hAnsi="Verdana"/>
          <w:noProof/>
          <w:sz w:val="22"/>
          <w:szCs w:val="22"/>
        </w:rPr>
        <w:lastRenderedPageBreak/>
        <mc:AlternateContent>
          <mc:Choice Requires="wps">
            <w:drawing>
              <wp:inline distT="45720" distB="45720" distL="114300" distR="114300" wp14:anchorId="233CE90F" wp14:editId="72C59A8B">
                <wp:extent cx="5689600" cy="1536065"/>
                <wp:effectExtent l="19050" t="19050" r="25400" b="13970"/>
                <wp:docPr id="1347887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536065"/>
                        </a:xfrm>
                        <a:prstGeom prst="rect">
                          <a:avLst/>
                        </a:prstGeom>
                        <a:noFill/>
                        <a:ln w="28575">
                          <a:solidFill>
                            <a:srgbClr val="7FCDD3"/>
                          </a:solidFill>
                          <a:miter lim="800000"/>
                          <a:headEnd/>
                          <a:tailEnd/>
                        </a:ln>
                      </wps:spPr>
                      <wps:txbx>
                        <w:txbxContent>
                          <w:p w14:paraId="5F34FCC2" w14:textId="77777777" w:rsidR="0090259B" w:rsidRPr="000D3D9B" w:rsidRDefault="0090259B" w:rsidP="0090259B">
                            <w:pPr>
                              <w:rPr>
                                <w:rFonts w:ascii="Verdana" w:hAnsi="Verdana"/>
                                <w:i/>
                                <w:iCs/>
                                <w:color w:val="2D7C82"/>
                                <w:sz w:val="22"/>
                                <w:szCs w:val="22"/>
                              </w:rPr>
                            </w:pPr>
                            <w:r w:rsidRPr="0090259B">
                              <w:rPr>
                                <w:rFonts w:ascii="Verdana" w:hAnsi="Verdana"/>
                                <w:i/>
                                <w:iCs/>
                                <w:color w:val="2D7C82"/>
                                <w:sz w:val="22"/>
                                <w:szCs w:val="22"/>
                              </w:rPr>
                              <w:t>LGBTQ+ people make up a greater proportion of those accessing sexual health services in Kent, compared to the population demographics. An increased risk of poor sexual health relating to STIs and chemsex exists, along with the need for better education around healthy relationships and addressing barriers such as stigma and the use of inappropriate language.</w:t>
                            </w:r>
                          </w:p>
                        </w:txbxContent>
                      </wps:txbx>
                      <wps:bodyPr rot="0" vert="horz" wrap="square" lIns="91440" tIns="45720" rIns="91440" bIns="45720" anchor="t" anchorCtr="0">
                        <a:spAutoFit/>
                      </wps:bodyPr>
                    </wps:wsp>
                  </a:graphicData>
                </a:graphic>
              </wp:inline>
            </w:drawing>
          </mc:Choice>
          <mc:Fallback>
            <w:pict>
              <v:shape w14:anchorId="233CE90F" id="_x0000_s1028" type="#_x0000_t202" style="width:448pt;height:12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" filled="f" strokecolor="#7fcdd3" strokeweight="2.25pt">
                <v:textbox style="mso-fit-shape-to-text:t">
                  <w:txbxContent>
                    <w:p w14:paraId="5F34FCC2" w14:textId="77777777" w:rsidR="0090259B" w:rsidRPr="000D3D9B" w:rsidRDefault="0090259B" w:rsidP="0090259B">
                      <w:pPr>
                        <w:rPr>
                          <w:rFonts w:ascii="Verdana" w:hAnsi="Verdana"/>
                          <w:i/>
                          <w:iCs/>
                          <w:color w:val="2D7C82"/>
                          <w:sz w:val="22"/>
                          <w:szCs w:val="22"/>
                        </w:rPr>
                      </w:pPr>
                      <w:r w:rsidRPr="0090259B">
                        <w:rPr>
                          <w:rFonts w:ascii="Verdana" w:hAnsi="Verdana"/>
                          <w:i/>
                          <w:iCs/>
                          <w:color w:val="2D7C82"/>
                          <w:sz w:val="22"/>
                          <w:szCs w:val="22"/>
                        </w:rPr>
                        <w:t>LGBTQ+ people make up a greater proportion of those accessing sexual health services in Kent, compared to the population demographics. An increased risk of poor sexual health relating to STIs and chemsex exists, along with the need for better education around healthy relationships and addressing barriers such as stigma and the use of inappropriate language.</w:t>
                      </w:r>
                    </w:p>
                  </w:txbxContent>
                </v:textbox>
                <w10:anchorlock/>
              </v:shape>
            </w:pict>
          </mc:Fallback>
        </mc:AlternateContent>
      </w:r>
    </w:p>
    <w:p w14:paraId="39BA5141" w14:textId="77777777" w:rsidR="00930D3C" w:rsidRPr="00AF7733" w:rsidRDefault="3C8158BE" w:rsidP="00930D3C">
      <w:pPr>
        <w:pStyle w:val="NormalWeb"/>
        <w:jc w:val="both"/>
        <w:rPr>
          <w:rFonts w:ascii="Verdana" w:hAnsi="Verdana" w:cstheme="minorBidi"/>
          <w:sz w:val="22"/>
          <w:szCs w:val="22"/>
        </w:rPr>
      </w:pPr>
      <w:r w:rsidRPr="136F3BEB">
        <w:rPr>
          <w:rFonts w:ascii="Verdana" w:hAnsi="Verdana" w:cstheme="minorBidi"/>
          <w:sz w:val="22"/>
          <w:szCs w:val="22"/>
        </w:rPr>
        <w:t>The SHIFT project</w:t>
      </w:r>
      <w:r w:rsidR="00D15EDD" w:rsidRPr="136F3BEB">
        <w:rPr>
          <w:rStyle w:val="FootnoteReference"/>
          <w:rFonts w:ascii="Verdana" w:hAnsi="Verdana" w:cstheme="minorBidi"/>
          <w:sz w:val="22"/>
          <w:szCs w:val="22"/>
        </w:rPr>
        <w:footnoteReference w:id="63"/>
      </w:r>
      <w:r w:rsidRPr="136F3BEB">
        <w:rPr>
          <w:rFonts w:ascii="Verdana" w:hAnsi="Verdana" w:cstheme="minorBidi"/>
          <w:sz w:val="22"/>
          <w:szCs w:val="22"/>
        </w:rPr>
        <w:t xml:space="preserve"> in 2021, involved Outreach activities across Kent where sexual health services were provided along with the ability to capture insights information for specific groups of the population. One Outreach session took place in a MSM Sauna. </w:t>
      </w:r>
    </w:p>
    <w:p w14:paraId="3BCC0DD2" w14:textId="77777777" w:rsidR="00CF5746" w:rsidRPr="00AF7733" w:rsidRDefault="356A15B6" w:rsidP="4A0F6D8A">
      <w:pPr>
        <w:pStyle w:val="NormalWeb"/>
        <w:jc w:val="both"/>
        <w:rPr>
          <w:rFonts w:ascii="Verdana" w:hAnsi="Verdana" w:cstheme="minorBidi"/>
          <w:sz w:val="22"/>
          <w:szCs w:val="22"/>
        </w:rPr>
      </w:pPr>
      <w:r w:rsidRPr="00AF7733">
        <w:rPr>
          <w:rFonts w:ascii="Verdana" w:hAnsi="Verdana" w:cstheme="minorBidi"/>
          <w:sz w:val="22"/>
          <w:szCs w:val="22"/>
        </w:rPr>
        <w:t>Men seen at the sauna clinic were nearly all over 45 years, 9% of the sample identified as heterosexual and 39% were married. The primary reasons for participants talking to Outreach services were to learn more about sexual health, and for concerns about STIs and HIV. Following use of the Outreach service, participants reported improvements in access to sexual health and wellbeing support and reduced stigma. This highlighted the value of working with this population in a setting where they would engage with sexual health services, particularly for those keeping their sexual preferences hidden from others making them more reluctant to access traditional sexual health services.</w:t>
      </w:r>
    </w:p>
    <w:p w14:paraId="1E3AF7A6" w14:textId="77777777" w:rsidR="00D15EDD" w:rsidRPr="00AF7733" w:rsidRDefault="17F14A2D" w:rsidP="49636075">
      <w:pPr>
        <w:pStyle w:val="Heading2"/>
        <w:numPr>
          <w:ilvl w:val="0"/>
          <w:numId w:val="0"/>
        </w:numPr>
        <w:rPr>
          <w:rFonts w:ascii="Verdana" w:eastAsia="Verdana" w:hAnsi="Verdana" w:cs="Verdana"/>
          <w:sz w:val="22"/>
          <w:szCs w:val="22"/>
        </w:rPr>
      </w:pPr>
      <w:bookmarkStart w:id="21" w:name="_Toc1392700855"/>
      <w:r w:rsidRPr="136F3BEB">
        <w:rPr>
          <w:rFonts w:ascii="Verdana" w:hAnsi="Verdana"/>
          <w:sz w:val="22"/>
          <w:szCs w:val="22"/>
        </w:rPr>
        <w:t xml:space="preserve">3.2.6 </w:t>
      </w:r>
      <w:r w:rsidR="5EF89FB2" w:rsidRPr="136F3BEB">
        <w:rPr>
          <w:rFonts w:ascii="Verdana" w:eastAsia="Verdana" w:hAnsi="Verdana" w:cs="Verdana"/>
          <w:sz w:val="22"/>
          <w:szCs w:val="22"/>
        </w:rPr>
        <w:t>People experiencing sexual abuse or violence</w:t>
      </w:r>
      <w:bookmarkEnd w:id="21"/>
    </w:p>
    <w:p w14:paraId="573B6449" w14:textId="77777777" w:rsidR="4A0F6D8A" w:rsidRPr="00AF7733" w:rsidRDefault="3C8158BE" w:rsidP="7FF55879">
      <w:pPr>
        <w:pStyle w:val="NormalWeb"/>
        <w:jc w:val="both"/>
        <w:rPr>
          <w:rFonts w:ascii="Verdana" w:hAnsi="Verdana" w:cstheme="minorBidi"/>
          <w:sz w:val="22"/>
          <w:szCs w:val="22"/>
        </w:rPr>
      </w:pPr>
      <w:r w:rsidRPr="136F3BEB">
        <w:rPr>
          <w:rFonts w:ascii="Verdana" w:hAnsi="Verdana" w:cstheme="minorBidi"/>
          <w:sz w:val="22"/>
          <w:szCs w:val="22"/>
        </w:rPr>
        <w:t>The Kent and Medway Serious Violence Strategic Needs Assessment</w:t>
      </w:r>
      <w:r w:rsidR="00D15EDD" w:rsidRPr="136F3BEB">
        <w:rPr>
          <w:rStyle w:val="FootnoteReference"/>
          <w:rFonts w:ascii="Verdana" w:hAnsi="Verdana" w:cstheme="minorBidi"/>
          <w:sz w:val="22"/>
          <w:szCs w:val="22"/>
        </w:rPr>
        <w:footnoteReference w:id="64"/>
      </w:r>
      <w:r w:rsidRPr="136F3BEB">
        <w:rPr>
          <w:rFonts w:ascii="Verdana" w:hAnsi="Verdana" w:cstheme="minorBidi"/>
          <w:sz w:val="22"/>
          <w:szCs w:val="22"/>
        </w:rPr>
        <w:t xml:space="preserve"> outlines the 2022/23 data for serious violence in Kent. Those under 25 years were disproportionately affected by violence, and domestic violence was more prevalent in households of mixed or black ethnicity. Thanet, Swale and Medway were most affected by violence, with the wards that were most affected often found in the most deprived areas. This particularly impacted on women, with nearly 4 times as many women in the lowest income bracket experiencing domestic abuse in the last 12 months compared with those in the highest income bracket. In terms of sexual violence in 2022/23, 82% of victims were female and 90% of suspects were male, with the highest group of victims being girls aged 11</w:t>
      </w:r>
      <w:r w:rsidR="3D1EC609" w:rsidRPr="136F3BEB">
        <w:rPr>
          <w:rFonts w:ascii="Verdana" w:hAnsi="Verdana" w:cstheme="minorBidi"/>
          <w:sz w:val="22"/>
          <w:szCs w:val="22"/>
        </w:rPr>
        <w:t xml:space="preserve"> to </w:t>
      </w:r>
      <w:r w:rsidRPr="136F3BEB">
        <w:rPr>
          <w:rFonts w:ascii="Verdana" w:hAnsi="Verdana" w:cstheme="minorBidi"/>
          <w:sz w:val="22"/>
          <w:szCs w:val="22"/>
        </w:rPr>
        <w:t>15 years.</w:t>
      </w:r>
    </w:p>
    <w:p w14:paraId="1C831B37" w14:textId="77777777" w:rsidR="5DAAB0BE" w:rsidRPr="00AF7733" w:rsidRDefault="0EC857D0" w:rsidP="5DAAB0BE">
      <w:pPr>
        <w:pStyle w:val="NormalWeb"/>
        <w:jc w:val="both"/>
        <w:rPr>
          <w:rFonts w:ascii="Verdana" w:hAnsi="Verdana" w:cstheme="minorBidi"/>
          <w:sz w:val="22"/>
          <w:szCs w:val="22"/>
        </w:rPr>
      </w:pPr>
      <w:r w:rsidRPr="136F3BEB">
        <w:rPr>
          <w:rFonts w:ascii="Verdana" w:hAnsi="Verdana" w:cstheme="minorBidi"/>
          <w:sz w:val="22"/>
          <w:szCs w:val="22"/>
        </w:rPr>
        <w:t>The SHIFT project</w:t>
      </w:r>
      <w:r w:rsidR="00D15EDD" w:rsidRPr="136F3BEB">
        <w:rPr>
          <w:rStyle w:val="FootnoteReference"/>
          <w:rFonts w:ascii="Verdana" w:hAnsi="Verdana" w:cstheme="minorBidi"/>
          <w:sz w:val="22"/>
          <w:szCs w:val="22"/>
        </w:rPr>
        <w:footnoteReference w:id="65"/>
      </w:r>
      <w:r w:rsidRPr="136F3BEB">
        <w:rPr>
          <w:rFonts w:ascii="Verdana" w:hAnsi="Verdana" w:cstheme="minorBidi"/>
          <w:sz w:val="22"/>
          <w:szCs w:val="22"/>
        </w:rPr>
        <w:t xml:space="preserve"> in 2021, surveyed a small group of migrants over the age of 45. One issue raised was honour-based abuse and forced marriage, with reports of those affected not feeling they could let any services know about the abuse they were experiencing. This was also reflected in interviews with a group of people who were homeless, with one participant reporting concern about accessing sexual health services due to fear of reprisal from her abusive partner. </w:t>
      </w:r>
    </w:p>
    <w:p w14:paraId="6CB7C686" w14:textId="77777777" w:rsidR="5DAAB0BE" w:rsidRDefault="16214B69" w:rsidP="5DAAB0BE">
      <w:pPr>
        <w:pStyle w:val="NormalWeb"/>
        <w:jc w:val="both"/>
        <w:rPr>
          <w:rFonts w:ascii="Verdana" w:hAnsi="Verdana" w:cstheme="minorBidi"/>
          <w:sz w:val="22"/>
          <w:szCs w:val="22"/>
        </w:rPr>
      </w:pPr>
      <w:r w:rsidRPr="00AF7733">
        <w:rPr>
          <w:rFonts w:ascii="Verdana" w:hAnsi="Verdana" w:cstheme="minorBidi"/>
          <w:sz w:val="22"/>
          <w:szCs w:val="22"/>
        </w:rPr>
        <w:lastRenderedPageBreak/>
        <w:t xml:space="preserve">Analysis conducted for the purposes of this report </w:t>
      </w:r>
      <w:r w:rsidR="1FC381CE" w:rsidRPr="00AF7733">
        <w:rPr>
          <w:rFonts w:ascii="Verdana" w:hAnsi="Verdana" w:cstheme="minorBidi"/>
          <w:sz w:val="22"/>
          <w:szCs w:val="22"/>
        </w:rPr>
        <w:t xml:space="preserve">by KCC’s performance analytics team </w:t>
      </w:r>
      <w:r w:rsidRPr="00AF7733">
        <w:rPr>
          <w:rFonts w:ascii="Verdana" w:hAnsi="Verdana" w:cstheme="minorBidi"/>
          <w:sz w:val="22"/>
          <w:szCs w:val="22"/>
        </w:rPr>
        <w:t xml:space="preserve">demonstrated that of those </w:t>
      </w:r>
      <w:r w:rsidR="265F545C" w:rsidRPr="00AF7733">
        <w:rPr>
          <w:rFonts w:ascii="Verdana" w:hAnsi="Verdana" w:cstheme="minorBidi"/>
          <w:sz w:val="22"/>
          <w:szCs w:val="22"/>
        </w:rPr>
        <w:t>receiving</w:t>
      </w:r>
      <w:r w:rsidRPr="00AF7733">
        <w:rPr>
          <w:rFonts w:ascii="Verdana" w:hAnsi="Verdana" w:cstheme="minorBidi"/>
          <w:sz w:val="22"/>
          <w:szCs w:val="22"/>
        </w:rPr>
        <w:t xml:space="preserve"> support for domestic abuse</w:t>
      </w:r>
      <w:r w:rsidR="6428C8D7" w:rsidRPr="00AF7733">
        <w:rPr>
          <w:rFonts w:ascii="Verdana" w:hAnsi="Verdana" w:cstheme="minorBidi"/>
          <w:sz w:val="22"/>
          <w:szCs w:val="22"/>
        </w:rPr>
        <w:t xml:space="preserve"> in Kent in 2023-2024</w:t>
      </w:r>
      <w:r w:rsidR="322F5B2E" w:rsidRPr="00AF7733">
        <w:rPr>
          <w:rFonts w:ascii="Verdana" w:hAnsi="Verdana" w:cstheme="minorBidi"/>
          <w:sz w:val="22"/>
          <w:szCs w:val="22"/>
        </w:rPr>
        <w:t>,</w:t>
      </w:r>
      <w:r w:rsidRPr="00AF7733">
        <w:rPr>
          <w:rFonts w:ascii="Verdana" w:hAnsi="Verdana" w:cstheme="minorBidi"/>
          <w:sz w:val="22"/>
          <w:szCs w:val="22"/>
        </w:rPr>
        <w:t xml:space="preserve"> sexual abuse was </w:t>
      </w:r>
      <w:r w:rsidR="47B4A75E" w:rsidRPr="00AF7733">
        <w:rPr>
          <w:rFonts w:ascii="Verdana" w:hAnsi="Verdana" w:cstheme="minorBidi"/>
          <w:sz w:val="22"/>
          <w:szCs w:val="22"/>
        </w:rPr>
        <w:t>a factor</w:t>
      </w:r>
      <w:r w:rsidR="6513B4C0" w:rsidRPr="00AF7733">
        <w:rPr>
          <w:rFonts w:ascii="Verdana" w:hAnsi="Verdana" w:cstheme="minorBidi"/>
          <w:sz w:val="22"/>
          <w:szCs w:val="22"/>
        </w:rPr>
        <w:t xml:space="preserve"> in some cases. Of those cases</w:t>
      </w:r>
      <w:r w:rsidR="47B4A75E" w:rsidRPr="00AF7733">
        <w:rPr>
          <w:rFonts w:ascii="Verdana" w:hAnsi="Verdana" w:cstheme="minorBidi"/>
          <w:sz w:val="22"/>
          <w:szCs w:val="22"/>
        </w:rPr>
        <w:t xml:space="preserve"> 82% </w:t>
      </w:r>
      <w:r w:rsidR="7A470C5C" w:rsidRPr="00AF7733">
        <w:rPr>
          <w:rFonts w:ascii="Verdana" w:hAnsi="Verdana" w:cstheme="minorBidi"/>
          <w:sz w:val="22"/>
          <w:szCs w:val="22"/>
        </w:rPr>
        <w:t xml:space="preserve">of victims </w:t>
      </w:r>
      <w:r w:rsidR="47B4A75E" w:rsidRPr="00AF7733">
        <w:rPr>
          <w:rFonts w:ascii="Verdana" w:hAnsi="Verdana" w:cstheme="minorBidi"/>
          <w:sz w:val="22"/>
          <w:szCs w:val="22"/>
        </w:rPr>
        <w:t xml:space="preserve">were female, </w:t>
      </w:r>
      <w:r w:rsidR="5876E86D" w:rsidRPr="00AF7733">
        <w:rPr>
          <w:rFonts w:ascii="Verdana" w:hAnsi="Verdana" w:cstheme="minorBidi"/>
          <w:sz w:val="22"/>
          <w:szCs w:val="22"/>
        </w:rPr>
        <w:t xml:space="preserve">and as little as </w:t>
      </w:r>
      <w:r w:rsidR="47B4A75E" w:rsidRPr="00AF7733">
        <w:rPr>
          <w:rFonts w:ascii="Verdana" w:hAnsi="Verdana" w:cstheme="minorBidi"/>
          <w:sz w:val="22"/>
          <w:szCs w:val="22"/>
        </w:rPr>
        <w:t>1% were male. The rem</w:t>
      </w:r>
      <w:r w:rsidR="32BA9966" w:rsidRPr="00AF7733">
        <w:rPr>
          <w:rFonts w:ascii="Verdana" w:hAnsi="Verdana" w:cstheme="minorBidi"/>
          <w:sz w:val="22"/>
          <w:szCs w:val="22"/>
        </w:rPr>
        <w:t xml:space="preserve">aining 17% either didn’t disclose gender or selected Other. </w:t>
      </w:r>
      <w:r w:rsidR="07E6A107" w:rsidRPr="00AF7733">
        <w:rPr>
          <w:rFonts w:ascii="Verdana" w:hAnsi="Verdana" w:cstheme="minorBidi"/>
          <w:sz w:val="22"/>
          <w:szCs w:val="22"/>
        </w:rPr>
        <w:t xml:space="preserve">This further demonstrates both the risk to women in terms of their sexual health and the </w:t>
      </w:r>
      <w:r w:rsidR="34CF9D6C" w:rsidRPr="00AF7733">
        <w:rPr>
          <w:rFonts w:ascii="Verdana" w:hAnsi="Verdana" w:cstheme="minorBidi"/>
          <w:sz w:val="22"/>
          <w:szCs w:val="22"/>
        </w:rPr>
        <w:t>disproportionate</w:t>
      </w:r>
      <w:r w:rsidR="07E6A107" w:rsidRPr="00AF7733">
        <w:rPr>
          <w:rFonts w:ascii="Verdana" w:hAnsi="Verdana" w:cstheme="minorBidi"/>
          <w:sz w:val="22"/>
          <w:szCs w:val="22"/>
        </w:rPr>
        <w:t xml:space="preserve"> impact of sexual violence on women. </w:t>
      </w:r>
    </w:p>
    <w:p w14:paraId="6147EFB3" w14:textId="77777777" w:rsidR="00AF7733" w:rsidRPr="00AF7733" w:rsidRDefault="00AF7733" w:rsidP="5DAAB0BE">
      <w:pPr>
        <w:pStyle w:val="NormalWeb"/>
        <w:jc w:val="both"/>
        <w:rPr>
          <w:rFonts w:ascii="Verdana" w:hAnsi="Verdana" w:cstheme="minorBidi"/>
          <w:sz w:val="22"/>
          <w:szCs w:val="22"/>
        </w:rPr>
      </w:pPr>
      <w:r w:rsidRPr="00AF7733">
        <w:rPr>
          <w:rFonts w:ascii="Verdana" w:hAnsi="Verdana" w:cstheme="minorBidi"/>
          <w:sz w:val="22"/>
          <w:szCs w:val="22"/>
        </w:rPr>
        <w:t>As part of this analysis, we are also able to ascertain how long after a sexual assault occurred, a person ordered an STI kit. Findings demonstrate that the time taken for seeking help is too long, and more effort is needed to raise awareness and provide timely support to victims of sexual assault. Only 11% of women ordered the kits within one week of the assault, compared with 64% who ordered kits over 1 year after the assault.</w:t>
      </w:r>
    </w:p>
    <w:p w14:paraId="1FC38AF5" w14:textId="77777777" w:rsidR="00D15EDD" w:rsidRPr="00AF7733" w:rsidRDefault="14528757" w:rsidP="49636075">
      <w:pPr>
        <w:pStyle w:val="Heading2"/>
        <w:numPr>
          <w:ilvl w:val="0"/>
          <w:numId w:val="0"/>
        </w:numPr>
        <w:rPr>
          <w:rFonts w:ascii="Verdana" w:eastAsia="Verdana" w:hAnsi="Verdana" w:cs="Verdana"/>
          <w:sz w:val="22"/>
          <w:szCs w:val="22"/>
        </w:rPr>
      </w:pPr>
      <w:bookmarkStart w:id="22" w:name="_Toc2035264393"/>
      <w:r w:rsidRPr="136F3BEB">
        <w:rPr>
          <w:rFonts w:ascii="Verdana" w:hAnsi="Verdana"/>
          <w:sz w:val="22"/>
          <w:szCs w:val="22"/>
        </w:rPr>
        <w:t xml:space="preserve">3.2.7 </w:t>
      </w:r>
      <w:r w:rsidR="5EF89FB2" w:rsidRPr="136F3BEB">
        <w:rPr>
          <w:rFonts w:ascii="Verdana" w:eastAsia="Verdana" w:hAnsi="Verdana" w:cs="Verdana"/>
          <w:sz w:val="22"/>
          <w:szCs w:val="22"/>
        </w:rPr>
        <w:t>Gypsy, Roma and Traveller (GRT) people</w:t>
      </w:r>
      <w:bookmarkEnd w:id="22"/>
      <w:r w:rsidR="5EF89FB2" w:rsidRPr="136F3BEB">
        <w:rPr>
          <w:rFonts w:ascii="Verdana" w:eastAsia="Verdana" w:hAnsi="Verdana" w:cs="Verdana"/>
          <w:sz w:val="22"/>
          <w:szCs w:val="22"/>
        </w:rPr>
        <w:t xml:space="preserve"> </w:t>
      </w:r>
    </w:p>
    <w:p w14:paraId="2BB6A62E" w14:textId="77777777" w:rsidR="00D15EDD" w:rsidRPr="008D6AC4" w:rsidRDefault="0EC857D0" w:rsidP="7FF55879">
      <w:pPr>
        <w:pStyle w:val="NormalWeb"/>
        <w:jc w:val="both"/>
        <w:rPr>
          <w:rFonts w:ascii="Verdana" w:hAnsi="Verdana" w:cstheme="minorBidi"/>
          <w:sz w:val="22"/>
          <w:szCs w:val="22"/>
        </w:rPr>
      </w:pPr>
      <w:r w:rsidRPr="136F3BEB">
        <w:rPr>
          <w:rFonts w:ascii="Verdana" w:hAnsi="Verdana" w:cstheme="minorBidi"/>
          <w:sz w:val="22"/>
          <w:szCs w:val="22"/>
        </w:rPr>
        <w:t>Kent has a higher percentage of Gypsy and Traveller people (0.3%) than the England average (0.1%), with 5,405 people identified as being from Gypsy and Irish Traveller ethnic groups in the 2021 Census</w:t>
      </w:r>
      <w:r w:rsidR="00D15EDD" w:rsidRPr="136F3BEB">
        <w:rPr>
          <w:rStyle w:val="FootnoteReference"/>
          <w:rFonts w:ascii="Verdana" w:hAnsi="Verdana" w:cstheme="minorBidi"/>
          <w:sz w:val="22"/>
          <w:szCs w:val="22"/>
        </w:rPr>
        <w:footnoteReference w:id="66"/>
      </w:r>
      <w:r w:rsidRPr="136F3BEB">
        <w:rPr>
          <w:rFonts w:ascii="Verdana" w:hAnsi="Verdana" w:cstheme="minorBidi"/>
          <w:sz w:val="22"/>
          <w:szCs w:val="22"/>
        </w:rPr>
        <w:t xml:space="preserve">. Maidstone, Swale and Ashford rank in the top five of England local authority districts with the highest proportion of people from these ethnic groups. </w:t>
      </w:r>
    </w:p>
    <w:p w14:paraId="19121000" w14:textId="77777777" w:rsidR="00D15EDD" w:rsidRPr="008D6AC4" w:rsidRDefault="006370CB" w:rsidP="136F3BEB">
      <w:pPr>
        <w:pStyle w:val="NormalWeb"/>
        <w:jc w:val="both"/>
        <w:rPr>
          <w:rFonts w:ascii="Verdana" w:hAnsi="Verdana" w:cstheme="minorBidi"/>
          <w:b/>
          <w:bCs/>
          <w:sz w:val="22"/>
          <w:szCs w:val="22"/>
        </w:rPr>
      </w:pPr>
      <w:r w:rsidRPr="008D6AC4">
        <w:rPr>
          <w:rFonts w:ascii="Verdana" w:hAnsi="Verdana"/>
          <w:noProof/>
          <w:color w:val="000000" w:themeColor="text1"/>
          <w:sz w:val="22"/>
          <w:szCs w:val="22"/>
          <w:shd w:val="clear" w:color="auto" w:fill="E6E6E6"/>
        </w:rPr>
        <w:drawing>
          <wp:inline distT="0" distB="0" distL="0" distR="0" wp14:anchorId="21C6CC3F" wp14:editId="4ABE04BD">
            <wp:extent cx="4838700" cy="3295650"/>
            <wp:effectExtent l="0" t="0" r="0" b="0"/>
            <wp:docPr id="29" name="Picture 29" descr="Heat map showing the Gypsy and Traveller population in Kent. High proportion of this population living in Swale, Maidstone and Ashfor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Heat map showing the Gypsy and Traveller population in Kent. High proportion of this population living in Swale, Maidstone and Ashford.">
                      <a:extLst>
                        <a:ext uri="{C183D7F6-B498-43B3-948B-1728B52AA6E4}">
                          <adec:decorative xmlns:adec="http://schemas.microsoft.com/office/drawing/2017/decorative" val="0"/>
                        </a:ext>
                      </a:extLst>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t="1320" r="1538"/>
                    <a:stretch/>
                  </pic:blipFill>
                  <pic:spPr bwMode="auto">
                    <a:xfrm>
                      <a:off x="0" y="0"/>
                      <a:ext cx="4838700" cy="3295650"/>
                    </a:xfrm>
                    <a:prstGeom prst="rect">
                      <a:avLst/>
                    </a:prstGeom>
                    <a:noFill/>
                    <a:ln>
                      <a:noFill/>
                    </a:ln>
                    <a:extLst>
                      <a:ext uri="{53640926-AAD7-44D8-BBD7-CCE9431645EC}">
                        <a14:shadowObscured xmlns:a14="http://schemas.microsoft.com/office/drawing/2010/main"/>
                      </a:ext>
                    </a:extLst>
                  </pic:spPr>
                </pic:pic>
              </a:graphicData>
            </a:graphic>
          </wp:inline>
        </w:drawing>
      </w:r>
      <w:r w:rsidR="09BDFE7F" w:rsidRPr="136F3BEB">
        <w:rPr>
          <w:rFonts w:ascii="Verdana" w:hAnsi="Verdana" w:cstheme="minorBidi"/>
          <w:b/>
          <w:bCs/>
          <w:sz w:val="22"/>
          <w:szCs w:val="22"/>
        </w:rPr>
        <w:t xml:space="preserve">                                                 </w:t>
      </w:r>
    </w:p>
    <w:p w14:paraId="64FC88F2" w14:textId="77777777" w:rsidR="00D15EDD" w:rsidRPr="008D6AC4" w:rsidRDefault="119D080E" w:rsidP="136F3BEB">
      <w:pPr>
        <w:pStyle w:val="NormalWeb"/>
        <w:jc w:val="both"/>
        <w:rPr>
          <w:rFonts w:ascii="Verdana" w:hAnsi="Verdana" w:cstheme="minorBidi"/>
          <w:b/>
          <w:bCs/>
          <w:sz w:val="22"/>
          <w:szCs w:val="22"/>
        </w:rPr>
      </w:pPr>
      <w:r w:rsidRPr="136F3BEB">
        <w:rPr>
          <w:rFonts w:ascii="Verdana" w:hAnsi="Verdana" w:cstheme="minorBidi"/>
          <w:b/>
          <w:bCs/>
          <w:sz w:val="22"/>
          <w:szCs w:val="22"/>
        </w:rPr>
        <w:t xml:space="preserve">Figure </w:t>
      </w:r>
      <w:r w:rsidR="1A9A9919" w:rsidRPr="136F3BEB">
        <w:rPr>
          <w:rFonts w:ascii="Verdana" w:hAnsi="Verdana" w:cstheme="minorBidi"/>
          <w:b/>
          <w:bCs/>
          <w:sz w:val="22"/>
          <w:szCs w:val="22"/>
        </w:rPr>
        <w:t>6</w:t>
      </w:r>
      <w:r w:rsidRPr="136F3BEB">
        <w:rPr>
          <w:rFonts w:ascii="Verdana" w:hAnsi="Verdana" w:cstheme="minorBidi"/>
          <w:b/>
          <w:bCs/>
          <w:sz w:val="22"/>
          <w:szCs w:val="22"/>
        </w:rPr>
        <w:t>: Gypsy and Irish Traveller Population in Kent; Population numbers within Kent wards, 2021</w:t>
      </w:r>
    </w:p>
    <w:p w14:paraId="471E878D" w14:textId="77777777" w:rsidR="00D15EDD" w:rsidRPr="008D6AC4" w:rsidRDefault="00D15EDD" w:rsidP="00D15EDD">
      <w:pPr>
        <w:pStyle w:val="NormalWeb"/>
        <w:jc w:val="both"/>
        <w:rPr>
          <w:rFonts w:ascii="Verdana" w:hAnsi="Verdana" w:cstheme="minorBidi"/>
          <w:sz w:val="22"/>
          <w:szCs w:val="22"/>
        </w:rPr>
      </w:pPr>
    </w:p>
    <w:p w14:paraId="5B8BCBDF" w14:textId="77777777" w:rsidR="004C2A5A" w:rsidRDefault="004C2A5A" w:rsidP="7FF55879">
      <w:pPr>
        <w:pStyle w:val="NormalWeb"/>
        <w:jc w:val="both"/>
        <w:rPr>
          <w:rFonts w:ascii="Verdana" w:hAnsi="Verdana" w:cstheme="minorBidi"/>
          <w:sz w:val="22"/>
          <w:szCs w:val="22"/>
        </w:rPr>
      </w:pPr>
    </w:p>
    <w:p w14:paraId="79430BAE" w14:textId="45E41F26" w:rsidR="7FF55879" w:rsidRPr="008D6AC4" w:rsidRDefault="3C8158BE" w:rsidP="7FF55879">
      <w:pPr>
        <w:pStyle w:val="NormalWeb"/>
        <w:jc w:val="both"/>
        <w:rPr>
          <w:rFonts w:ascii="Verdana" w:hAnsi="Verdana" w:cstheme="minorBidi"/>
          <w:sz w:val="22"/>
          <w:szCs w:val="22"/>
        </w:rPr>
      </w:pPr>
      <w:r w:rsidRPr="136F3BEB">
        <w:rPr>
          <w:rFonts w:ascii="Verdana" w:hAnsi="Verdana" w:cstheme="minorBidi"/>
          <w:sz w:val="22"/>
          <w:szCs w:val="22"/>
        </w:rPr>
        <w:t>A Gypsy, Roma and Traveller Populations’ Health Needs Assessment was produced by the Kent County Council Public Health team in 2023</w:t>
      </w:r>
      <w:r w:rsidR="00D15EDD" w:rsidRPr="136F3BEB">
        <w:rPr>
          <w:rStyle w:val="FootnoteReference"/>
          <w:rFonts w:ascii="Verdana" w:hAnsi="Verdana" w:cstheme="minorBidi"/>
          <w:sz w:val="22"/>
          <w:szCs w:val="22"/>
        </w:rPr>
        <w:footnoteReference w:id="67"/>
      </w:r>
      <w:r w:rsidRPr="136F3BEB">
        <w:rPr>
          <w:rFonts w:ascii="Verdana" w:hAnsi="Verdana" w:cstheme="minorBidi"/>
          <w:sz w:val="22"/>
          <w:szCs w:val="22"/>
        </w:rPr>
        <w:t xml:space="preserve">. A literature review on the health status and beliefs of GRT people highlighted the poorer health outcomes seen across the life course. </w:t>
      </w:r>
    </w:p>
    <w:p w14:paraId="1C23FBCA" w14:textId="77777777" w:rsidR="7FF55879" w:rsidRPr="008D6AC4" w:rsidRDefault="7AE037BE" w:rsidP="7FF55879">
      <w:pPr>
        <w:pStyle w:val="NormalWeb"/>
        <w:jc w:val="both"/>
        <w:rPr>
          <w:rFonts w:ascii="Verdana" w:hAnsi="Verdana" w:cstheme="minorBidi"/>
          <w:sz w:val="22"/>
          <w:szCs w:val="22"/>
        </w:rPr>
      </w:pPr>
      <w:r w:rsidRPr="008D6AC4">
        <w:rPr>
          <w:rFonts w:ascii="Verdana" w:hAnsi="Verdana" w:cstheme="minorBidi"/>
          <w:sz w:val="22"/>
          <w:szCs w:val="22"/>
        </w:rPr>
        <w:t xml:space="preserve">There are complex issues with access to healthcare, including limited awareness of services, low literacy levels, a lack of trust in health care services, experiences of discrimination, wrongful registration refusal in primary care and digital exclusion. Health beliefs tend to emphasise social and environmental factors as drivers of health, as opposed to medical concepts of disease. For Roma women, cultural taboos around discussion of female sexual or gynaecological health exist, which can result in reluctance to discuss gynaecological issues or take up cervical cancer screening with health professionals. Children from Gypsy and Traveller communities tend to leave school at a much earlier age, which may impact on access to relationships and sex education provided in schools. In terms of risk factors for poor sexual health behaviours, higher incidences of depression and alcohol consumption and drug use among Gypsy and Traveller young people were highlighted.  </w:t>
      </w:r>
    </w:p>
    <w:p w14:paraId="2B7F2550" w14:textId="77777777" w:rsidR="00D15EDD" w:rsidRPr="008D6AC4" w:rsidRDefault="00D15EDD" w:rsidP="00D15EDD">
      <w:pPr>
        <w:pStyle w:val="NormalWeb"/>
        <w:jc w:val="both"/>
        <w:rPr>
          <w:rFonts w:ascii="Verdana" w:hAnsi="Verdana" w:cstheme="minorBidi"/>
          <w:sz w:val="22"/>
          <w:szCs w:val="22"/>
        </w:rPr>
      </w:pPr>
      <w:r w:rsidRPr="008D6AC4">
        <w:rPr>
          <w:rFonts w:ascii="Verdana" w:hAnsi="Verdana" w:cstheme="minorBidi"/>
          <w:sz w:val="22"/>
          <w:szCs w:val="22"/>
        </w:rPr>
        <w:t xml:space="preserve">In terms of sexual health, the HNA highlighted several key issues based on stakeholder interviews. There is a lack of knowledge and uptake of contraception, with the responsibility for contraception falling on women, leading to some women using abortions as a last resort, and some Roma women returning to their own country to have a termination. Low immunisation uptake is seen, with the HPV vaccine viewed by some as inappropriate and unnecessary due to sexual health issues being a taboo. </w:t>
      </w:r>
    </w:p>
    <w:p w14:paraId="47C738FE" w14:textId="77777777" w:rsidR="00D15EDD" w:rsidRPr="00AF7733" w:rsidRDefault="7AE037BE" w:rsidP="7FF55879">
      <w:pPr>
        <w:pStyle w:val="NormalWeb"/>
        <w:jc w:val="both"/>
        <w:rPr>
          <w:rFonts w:ascii="Verdana" w:hAnsi="Verdana" w:cstheme="minorBidi"/>
          <w:sz w:val="22"/>
          <w:szCs w:val="22"/>
        </w:rPr>
      </w:pPr>
      <w:r w:rsidRPr="008D6AC4">
        <w:rPr>
          <w:rFonts w:ascii="Verdana" w:hAnsi="Verdana" w:cstheme="minorBidi"/>
          <w:sz w:val="22"/>
          <w:szCs w:val="22"/>
        </w:rPr>
        <w:t xml:space="preserve">It is not fully understood whether outreach has been successful with GRT communities in terms of sexual health, or how many of the GRT population use sexual health services. </w:t>
      </w:r>
      <w:r w:rsidR="4664CF07" w:rsidRPr="008D6AC4">
        <w:rPr>
          <w:rFonts w:ascii="Verdana" w:hAnsi="Verdana" w:cstheme="minorBidi"/>
          <w:sz w:val="22"/>
          <w:szCs w:val="22"/>
        </w:rPr>
        <w:t>GRT populations should be a focus for sexual health to understand more about use of contraception, abortion rates</w:t>
      </w:r>
      <w:r w:rsidR="2EF4095E" w:rsidRPr="008D6AC4">
        <w:rPr>
          <w:rFonts w:ascii="Verdana" w:hAnsi="Verdana" w:cstheme="minorBidi"/>
          <w:sz w:val="22"/>
          <w:szCs w:val="22"/>
        </w:rPr>
        <w:t xml:space="preserve">. </w:t>
      </w:r>
      <w:r w:rsidRPr="008D6AC4">
        <w:rPr>
          <w:rFonts w:ascii="Verdana" w:hAnsi="Verdana" w:cstheme="minorBidi"/>
          <w:sz w:val="22"/>
          <w:szCs w:val="22"/>
        </w:rPr>
        <w:t>This information would help to ensure that their needs are being or can be met</w:t>
      </w:r>
      <w:r w:rsidR="2EF4095E" w:rsidRPr="008D6AC4">
        <w:rPr>
          <w:rFonts w:ascii="Verdana" w:hAnsi="Verdana" w:cstheme="minorBidi"/>
          <w:sz w:val="22"/>
          <w:szCs w:val="22"/>
        </w:rPr>
        <w:t xml:space="preserve"> and identify opportunities to support with improving sexual health outcomes</w:t>
      </w:r>
      <w:r w:rsidRPr="008D6AC4">
        <w:rPr>
          <w:rFonts w:ascii="Verdana" w:hAnsi="Verdana" w:cstheme="minorBidi"/>
          <w:sz w:val="22"/>
          <w:szCs w:val="22"/>
        </w:rPr>
        <w:t xml:space="preserve">. Focus on areas </w:t>
      </w:r>
      <w:r w:rsidRPr="00AF7733">
        <w:rPr>
          <w:rFonts w:ascii="Verdana" w:hAnsi="Verdana" w:cstheme="minorBidi"/>
          <w:sz w:val="22"/>
          <w:szCs w:val="22"/>
        </w:rPr>
        <w:t xml:space="preserve">of high GRT density would be the recommended starting point. </w:t>
      </w:r>
    </w:p>
    <w:p w14:paraId="40E23453" w14:textId="77777777" w:rsidR="00D15EDD" w:rsidRPr="00AF7733" w:rsidRDefault="4A76D09F" w:rsidP="49636075">
      <w:pPr>
        <w:pStyle w:val="Heading2"/>
        <w:numPr>
          <w:ilvl w:val="0"/>
          <w:numId w:val="0"/>
        </w:numPr>
        <w:rPr>
          <w:rFonts w:ascii="Verdana" w:eastAsia="Verdana" w:hAnsi="Verdana" w:cs="Verdana"/>
          <w:sz w:val="22"/>
          <w:szCs w:val="22"/>
        </w:rPr>
      </w:pPr>
      <w:bookmarkStart w:id="23" w:name="_Toc986453221"/>
      <w:r w:rsidRPr="136F3BEB">
        <w:rPr>
          <w:rFonts w:ascii="Verdana" w:hAnsi="Verdana"/>
          <w:sz w:val="22"/>
          <w:szCs w:val="22"/>
        </w:rPr>
        <w:t>3.2.</w:t>
      </w:r>
      <w:r w:rsidR="6287EAE1" w:rsidRPr="136F3BEB">
        <w:rPr>
          <w:rFonts w:ascii="Verdana" w:eastAsia="Verdana" w:hAnsi="Verdana" w:cs="Verdana"/>
          <w:sz w:val="22"/>
          <w:szCs w:val="22"/>
        </w:rPr>
        <w:t>8</w:t>
      </w:r>
      <w:r w:rsidRPr="136F3BEB">
        <w:rPr>
          <w:rFonts w:ascii="Verdana" w:eastAsia="Verdana" w:hAnsi="Verdana" w:cs="Verdana"/>
          <w:sz w:val="22"/>
          <w:szCs w:val="22"/>
        </w:rPr>
        <w:t xml:space="preserve"> </w:t>
      </w:r>
      <w:r w:rsidR="5EF89FB2" w:rsidRPr="136F3BEB">
        <w:rPr>
          <w:rFonts w:ascii="Verdana" w:eastAsia="Verdana" w:hAnsi="Verdana" w:cs="Verdana"/>
          <w:sz w:val="22"/>
          <w:szCs w:val="22"/>
        </w:rPr>
        <w:t>Alcohol and drug misuse</w:t>
      </w:r>
      <w:bookmarkEnd w:id="23"/>
    </w:p>
    <w:p w14:paraId="40FE3C01" w14:textId="77777777" w:rsidR="4A0F6D8A" w:rsidRPr="00AF7733" w:rsidRDefault="3C8158BE" w:rsidP="7FF55879">
      <w:pPr>
        <w:pStyle w:val="NormalWeb"/>
        <w:jc w:val="both"/>
        <w:rPr>
          <w:rFonts w:ascii="Verdana" w:hAnsi="Verdana" w:cstheme="minorBidi"/>
          <w:sz w:val="22"/>
          <w:szCs w:val="22"/>
        </w:rPr>
      </w:pPr>
      <w:r w:rsidRPr="136F3BEB">
        <w:rPr>
          <w:rFonts w:ascii="Verdana" w:hAnsi="Verdana" w:cstheme="minorBidi"/>
          <w:sz w:val="22"/>
          <w:szCs w:val="22"/>
        </w:rPr>
        <w:t>Misuse of drugs and alcohol is associated with increased sexual risk taking</w:t>
      </w:r>
      <w:r w:rsidR="759B1971" w:rsidRPr="136F3BEB">
        <w:rPr>
          <w:rFonts w:ascii="Verdana" w:hAnsi="Verdana" w:cstheme="minorBidi"/>
          <w:sz w:val="22"/>
          <w:szCs w:val="22"/>
        </w:rPr>
        <w:t xml:space="preserve">, </w:t>
      </w:r>
      <w:r w:rsidR="00D15EDD" w:rsidRPr="136F3BEB">
        <w:rPr>
          <w:rStyle w:val="FootnoteReference"/>
          <w:rFonts w:ascii="Verdana" w:hAnsi="Verdana" w:cstheme="minorBidi"/>
          <w:sz w:val="22"/>
          <w:szCs w:val="22"/>
        </w:rPr>
        <w:footnoteReference w:id="68"/>
      </w:r>
      <w:r w:rsidR="0EC857D0" w:rsidRPr="0089791B">
        <w:rPr>
          <w:rFonts w:ascii="Arial" w:hAnsi="Arial" w:cs="Arial"/>
          <w:sz w:val="22"/>
          <w:szCs w:val="22"/>
        </w:rPr>
        <w:t>￼</w:t>
      </w:r>
      <w:r w:rsidRPr="136F3BEB">
        <w:rPr>
          <w:rFonts w:ascii="Verdana" w:hAnsi="Verdana" w:cstheme="minorBidi"/>
          <w:sz w:val="22"/>
          <w:szCs w:val="22"/>
        </w:rPr>
        <w:t>. Chemsex</w:t>
      </w:r>
      <w:r w:rsidR="00D15EDD" w:rsidRPr="136F3BEB">
        <w:rPr>
          <w:rStyle w:val="FootnoteReference"/>
          <w:rFonts w:ascii="Verdana" w:hAnsi="Verdana" w:cstheme="minorBidi"/>
          <w:sz w:val="22"/>
          <w:szCs w:val="22"/>
        </w:rPr>
        <w:footnoteReference w:id="69"/>
      </w:r>
      <w:r w:rsidR="0EC857D0" w:rsidRPr="0089791B">
        <w:rPr>
          <w:rFonts w:ascii="Arial" w:hAnsi="Arial" w:cs="Arial"/>
          <w:sz w:val="22"/>
          <w:szCs w:val="22"/>
        </w:rPr>
        <w:t>￼</w:t>
      </w:r>
      <w:r w:rsidRPr="136F3BEB">
        <w:rPr>
          <w:rFonts w:ascii="Verdana" w:hAnsi="Verdana" w:cstheme="minorBidi"/>
          <w:sz w:val="22"/>
          <w:szCs w:val="22"/>
        </w:rPr>
        <w:t xml:space="preserve"> and is most common amongst gay, bisexual and MSM people. The risk of transmission of STIs and HIV is increased when drug use takes place in a sexual context</w:t>
      </w:r>
      <w:r w:rsidRPr="00AF7733">
        <w:rPr>
          <w:rStyle w:val="FootnoteReference"/>
          <w:rFonts w:ascii="Verdana" w:hAnsi="Verdana"/>
          <w:sz w:val="22"/>
          <w:szCs w:val="22"/>
        </w:rPr>
        <w:t>61</w:t>
      </w:r>
      <w:r w:rsidRPr="136F3BEB">
        <w:rPr>
          <w:rFonts w:ascii="Verdana" w:hAnsi="Verdana" w:cstheme="minorBidi"/>
          <w:sz w:val="22"/>
          <w:szCs w:val="22"/>
        </w:rPr>
        <w:t xml:space="preserve">. </w:t>
      </w:r>
    </w:p>
    <w:p w14:paraId="7450C2C2" w14:textId="77777777" w:rsidR="4A0F6D8A" w:rsidRPr="00AF7733" w:rsidRDefault="4061F65F" w:rsidP="7FF55879">
      <w:pPr>
        <w:pStyle w:val="NormalWeb"/>
        <w:jc w:val="both"/>
        <w:rPr>
          <w:rFonts w:ascii="Verdana" w:hAnsi="Verdana" w:cstheme="minorBidi"/>
          <w:sz w:val="22"/>
          <w:szCs w:val="22"/>
        </w:rPr>
      </w:pPr>
      <w:r w:rsidRPr="00AF7733">
        <w:rPr>
          <w:rFonts w:ascii="Verdana" w:hAnsi="Verdana" w:cstheme="minorBidi"/>
          <w:sz w:val="22"/>
          <w:szCs w:val="22"/>
        </w:rPr>
        <w:t xml:space="preserve">In the 2024 KCC commissioned insights work, a focus group with attendees in recovery from drug and alcohol abuse cited </w:t>
      </w:r>
      <w:bookmarkStart w:id="24" w:name="_Int_wawSHFAz"/>
      <w:r w:rsidRPr="00AF7733">
        <w:rPr>
          <w:rFonts w:ascii="Verdana" w:hAnsi="Verdana" w:cstheme="minorBidi"/>
          <w:sz w:val="22"/>
          <w:szCs w:val="22"/>
        </w:rPr>
        <w:t>that drugs and alcohol</w:t>
      </w:r>
      <w:bookmarkEnd w:id="24"/>
      <w:r w:rsidRPr="00AF7733">
        <w:rPr>
          <w:rFonts w:ascii="Verdana" w:hAnsi="Verdana" w:cstheme="minorBidi"/>
          <w:sz w:val="22"/>
          <w:szCs w:val="22"/>
        </w:rPr>
        <w:t xml:space="preserve"> impacted </w:t>
      </w:r>
      <w:r w:rsidRPr="00AF7733">
        <w:rPr>
          <w:rFonts w:ascii="Verdana" w:hAnsi="Verdana" w:cstheme="minorBidi"/>
          <w:sz w:val="22"/>
          <w:szCs w:val="22"/>
        </w:rPr>
        <w:lastRenderedPageBreak/>
        <w:t xml:space="preserve">decisions around protection during sex, therefore increasing risk of STIs and vulnerability to abuse. </w:t>
      </w:r>
    </w:p>
    <w:p w14:paraId="594C88DB" w14:textId="77777777" w:rsidR="4A0F6D8A" w:rsidRPr="00AF7733" w:rsidRDefault="356A15B6" w:rsidP="4A0F6D8A">
      <w:pPr>
        <w:pStyle w:val="NormalWeb"/>
        <w:jc w:val="both"/>
        <w:rPr>
          <w:rFonts w:ascii="Verdana" w:hAnsi="Verdana" w:cstheme="minorBidi"/>
          <w:sz w:val="22"/>
          <w:szCs w:val="22"/>
        </w:rPr>
      </w:pPr>
      <w:r w:rsidRPr="00AF7733">
        <w:rPr>
          <w:rFonts w:ascii="Verdana" w:hAnsi="Verdana" w:cstheme="minorBidi"/>
          <w:sz w:val="22"/>
          <w:szCs w:val="22"/>
        </w:rPr>
        <w:t xml:space="preserve">Kent should accelerate efforts to understand the impact of chemsex on sexual health outcomes in its population, and the sexual health system should aim to work collaboratively with wider partners to support people engaged in chemsex, including exploring co-location of services.  </w:t>
      </w:r>
    </w:p>
    <w:p w14:paraId="682B277A" w14:textId="77777777" w:rsidR="00D15EDD" w:rsidRPr="00AF7733" w:rsidRDefault="4A23B7A0" w:rsidP="49636075">
      <w:pPr>
        <w:pStyle w:val="Heading2"/>
        <w:numPr>
          <w:ilvl w:val="0"/>
          <w:numId w:val="0"/>
        </w:numPr>
        <w:rPr>
          <w:rFonts w:ascii="Verdana" w:eastAsia="Verdana" w:hAnsi="Verdana" w:cs="Verdana"/>
          <w:sz w:val="22"/>
          <w:szCs w:val="22"/>
        </w:rPr>
      </w:pPr>
      <w:bookmarkStart w:id="25" w:name="_Toc253906454"/>
      <w:r w:rsidRPr="136F3BEB">
        <w:rPr>
          <w:rFonts w:ascii="Verdana" w:hAnsi="Verdana"/>
          <w:sz w:val="22"/>
          <w:szCs w:val="22"/>
        </w:rPr>
        <w:t>3.2.</w:t>
      </w:r>
      <w:r w:rsidR="3EE21A46" w:rsidRPr="136F3BEB">
        <w:rPr>
          <w:rFonts w:ascii="Verdana" w:eastAsia="Verdana" w:hAnsi="Verdana" w:cs="Verdana"/>
          <w:sz w:val="22"/>
          <w:szCs w:val="22"/>
        </w:rPr>
        <w:t>9</w:t>
      </w:r>
      <w:r w:rsidRPr="136F3BEB">
        <w:rPr>
          <w:rFonts w:ascii="Verdana" w:eastAsia="Verdana" w:hAnsi="Verdana" w:cs="Verdana"/>
          <w:sz w:val="22"/>
          <w:szCs w:val="22"/>
        </w:rPr>
        <w:t xml:space="preserve"> </w:t>
      </w:r>
      <w:r w:rsidR="5EF89FB2" w:rsidRPr="136F3BEB">
        <w:rPr>
          <w:rFonts w:ascii="Verdana" w:eastAsia="Verdana" w:hAnsi="Verdana" w:cs="Verdana"/>
          <w:sz w:val="22"/>
          <w:szCs w:val="22"/>
        </w:rPr>
        <w:t>People in Contact with the Justice System</w:t>
      </w:r>
      <w:bookmarkEnd w:id="25"/>
    </w:p>
    <w:p w14:paraId="5A965F11" w14:textId="77777777" w:rsidR="7FF55879" w:rsidRPr="00AF7733" w:rsidRDefault="3C8158BE" w:rsidP="136F3BEB">
      <w:pPr>
        <w:pStyle w:val="NormalWeb"/>
        <w:jc w:val="both"/>
        <w:rPr>
          <w:rFonts w:ascii="Verdana" w:hAnsi="Verdana" w:cstheme="minorBidi"/>
          <w:sz w:val="22"/>
          <w:szCs w:val="22"/>
        </w:rPr>
      </w:pPr>
      <w:r w:rsidRPr="136F3BEB">
        <w:rPr>
          <w:rFonts w:ascii="Verdana" w:hAnsi="Verdana" w:cstheme="minorBidi"/>
          <w:sz w:val="22"/>
          <w:szCs w:val="22"/>
        </w:rPr>
        <w:t>There are</w:t>
      </w:r>
      <w:r w:rsidR="60EE06D9" w:rsidRPr="136F3BEB">
        <w:rPr>
          <w:rFonts w:ascii="Verdana" w:hAnsi="Verdana" w:cstheme="minorBidi"/>
          <w:sz w:val="22"/>
          <w:szCs w:val="22"/>
        </w:rPr>
        <w:t xml:space="preserve"> currently</w:t>
      </w:r>
      <w:r w:rsidRPr="136F3BEB">
        <w:rPr>
          <w:rFonts w:ascii="Verdana" w:hAnsi="Verdana" w:cstheme="minorBidi"/>
          <w:sz w:val="22"/>
          <w:szCs w:val="22"/>
        </w:rPr>
        <w:t xml:space="preserve"> 5 prisons in Kent, located in Maidstone and the Isle of Sheppey, Swale (along with</w:t>
      </w:r>
      <w:r w:rsidR="44EA1D57" w:rsidRPr="136F3BEB">
        <w:rPr>
          <w:rFonts w:ascii="Verdana" w:hAnsi="Verdana" w:cstheme="minorBidi"/>
          <w:sz w:val="22"/>
          <w:szCs w:val="22"/>
        </w:rPr>
        <w:t xml:space="preserve"> Rochester Y</w:t>
      </w:r>
      <w:r w:rsidR="60EE06D9" w:rsidRPr="136F3BEB">
        <w:rPr>
          <w:rFonts w:ascii="Verdana" w:hAnsi="Verdana" w:cstheme="minorBidi"/>
          <w:sz w:val="22"/>
          <w:szCs w:val="22"/>
        </w:rPr>
        <w:t xml:space="preserve">outh </w:t>
      </w:r>
      <w:r w:rsidR="44EA1D57" w:rsidRPr="136F3BEB">
        <w:rPr>
          <w:rFonts w:ascii="Verdana" w:hAnsi="Verdana" w:cstheme="minorBidi"/>
          <w:sz w:val="22"/>
          <w:szCs w:val="22"/>
        </w:rPr>
        <w:t>O</w:t>
      </w:r>
      <w:r w:rsidR="60EE06D9" w:rsidRPr="136F3BEB">
        <w:rPr>
          <w:rFonts w:ascii="Verdana" w:hAnsi="Verdana" w:cstheme="minorBidi"/>
          <w:sz w:val="22"/>
          <w:szCs w:val="22"/>
        </w:rPr>
        <w:t xml:space="preserve">ffending </w:t>
      </w:r>
      <w:r w:rsidR="44EA1D57" w:rsidRPr="136F3BEB">
        <w:rPr>
          <w:rFonts w:ascii="Verdana" w:hAnsi="Verdana" w:cstheme="minorBidi"/>
          <w:sz w:val="22"/>
          <w:szCs w:val="22"/>
        </w:rPr>
        <w:t>Team</w:t>
      </w:r>
      <w:r w:rsidRPr="136F3BEB">
        <w:rPr>
          <w:rFonts w:ascii="Verdana" w:hAnsi="Verdana" w:cstheme="minorBidi"/>
          <w:sz w:val="22"/>
          <w:szCs w:val="22"/>
        </w:rPr>
        <w:t xml:space="preserve"> in Medway), including both adults and young offenders. The prison population in Kent and Medway is 20,875, which is 1.11% of the population. This compares to 1.67% of the population for</w:t>
      </w:r>
      <w:r w:rsidR="6EAFD409" w:rsidRPr="136F3BEB">
        <w:rPr>
          <w:rFonts w:ascii="Verdana" w:hAnsi="Verdana" w:cstheme="minorBidi"/>
          <w:sz w:val="22"/>
          <w:szCs w:val="22"/>
        </w:rPr>
        <w:t xml:space="preserve"> </w:t>
      </w:r>
      <w:r w:rsidRPr="136F3BEB">
        <w:rPr>
          <w:rFonts w:ascii="Verdana" w:hAnsi="Verdana" w:cstheme="minorBidi"/>
          <w:sz w:val="22"/>
          <w:szCs w:val="22"/>
        </w:rPr>
        <w:t>England</w:t>
      </w:r>
      <w:r w:rsidR="00D15EDD" w:rsidRPr="136F3BEB">
        <w:rPr>
          <w:rStyle w:val="FootnoteReference"/>
          <w:rFonts w:ascii="Verdana" w:hAnsi="Verdana" w:cstheme="minorBidi"/>
          <w:sz w:val="22"/>
          <w:szCs w:val="22"/>
        </w:rPr>
        <w:footnoteReference w:id="70"/>
      </w:r>
      <w:r w:rsidRPr="136F3BEB">
        <w:rPr>
          <w:rFonts w:ascii="Verdana" w:hAnsi="Verdana" w:cstheme="minorBidi"/>
          <w:sz w:val="22"/>
          <w:szCs w:val="22"/>
        </w:rPr>
        <w:t>.  Approximately 72.9% of prisoners in Kent are British nationals, compared to 26.9% foreign nationals. 65.7% of prisoners are of White ethnicity and 18.25% are of a black ethnicity. People of Asian, Mixed or Other ethnicity make up less than 20% of all prisoners in Kent. The majority of prisoners (33.6%) are between the ages of 30 to 39 and 97.8% are men.</w:t>
      </w:r>
      <w:r w:rsidR="4061F65F">
        <w:br/>
      </w:r>
    </w:p>
    <w:p w14:paraId="55C9F0A8" w14:textId="77777777" w:rsidR="4A0F6D8A" w:rsidRPr="00AF7733" w:rsidRDefault="00F16CEC" w:rsidP="4A0F6D8A">
      <w:pPr>
        <w:pStyle w:val="NormalWeb"/>
        <w:jc w:val="both"/>
        <w:rPr>
          <w:rFonts w:ascii="Verdana" w:hAnsi="Verdana" w:cstheme="minorBidi"/>
          <w:sz w:val="22"/>
          <w:szCs w:val="22"/>
        </w:rPr>
      </w:pPr>
      <w:r w:rsidRPr="0089791B">
        <w:rPr>
          <w:rFonts w:ascii="Verdana" w:hAnsi="Verdana"/>
          <w:noProof/>
          <w:sz w:val="22"/>
          <w:szCs w:val="22"/>
        </w:rPr>
        <mc:AlternateContent>
          <mc:Choice Requires="wps">
            <w:drawing>
              <wp:inline distT="45720" distB="45720" distL="114300" distR="114300" wp14:anchorId="3A833232" wp14:editId="56298DFE">
                <wp:extent cx="5759450" cy="1003300"/>
                <wp:effectExtent l="19050" t="19050" r="12700" b="25400"/>
                <wp:docPr id="1789353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003300"/>
                        </a:xfrm>
                        <a:prstGeom prst="rect">
                          <a:avLst/>
                        </a:prstGeom>
                        <a:noFill/>
                        <a:ln w="28575">
                          <a:solidFill>
                            <a:srgbClr val="7FCDD3"/>
                          </a:solidFill>
                          <a:miter lim="800000"/>
                          <a:headEnd/>
                          <a:tailEnd/>
                        </a:ln>
                      </wps:spPr>
                      <wps:txbx>
                        <w:txbxContent>
                          <w:p w14:paraId="16D8F7E4" w14:textId="77777777" w:rsidR="000866A2" w:rsidRPr="00204141" w:rsidRDefault="00C87FE7" w:rsidP="00204141">
                            <w:pPr>
                              <w:pStyle w:val="NormalWeb"/>
                              <w:jc w:val="both"/>
                              <w:rPr>
                                <w:rFonts w:ascii="Verdana" w:hAnsi="Verdana" w:cstheme="minorBidi"/>
                                <w:i/>
                                <w:color w:val="2D7C82"/>
                                <w:sz w:val="22"/>
                                <w:szCs w:val="22"/>
                              </w:rPr>
                            </w:pPr>
                            <w:r w:rsidRPr="00204141">
                              <w:rPr>
                                <w:rFonts w:ascii="Verdana" w:hAnsi="Verdana" w:cstheme="minorBidi"/>
                                <w:i/>
                                <w:color w:val="2D7C82"/>
                                <w:sz w:val="22"/>
                                <w:szCs w:val="22"/>
                              </w:rPr>
                              <w:t>People in contact with the justice system are at a higher risk of poor sexual health and this is often underreported in national datasets. More understanding is required of sexual health service provision in prisons, along with what support is available to reduce sexual health risks on release from prison.</w:t>
                            </w:r>
                          </w:p>
                        </w:txbxContent>
                      </wps:txbx>
                      <wps:bodyPr rot="0" vert="horz" wrap="square" lIns="91440" tIns="45720" rIns="91440" bIns="45720" anchor="t" anchorCtr="0">
                        <a:noAutofit/>
                      </wps:bodyPr>
                    </wps:wsp>
                  </a:graphicData>
                </a:graphic>
              </wp:inline>
            </w:drawing>
          </mc:Choice>
          <mc:Fallback>
            <w:pict>
              <v:shape w14:anchorId="3A833232" id="_x0000_s1029" type="#_x0000_t202" style="width:453.5pt;height: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" filled="f" strokecolor="#7fcdd3" strokeweight="2.25pt">
                <v:textbox>
                  <w:txbxContent>
                    <w:p w14:paraId="16D8F7E4" w14:textId="77777777" w:rsidR="000866A2" w:rsidRPr="00204141" w:rsidRDefault="00C87FE7" w:rsidP="00204141">
                      <w:pPr>
                        <w:pStyle w:val="NormalWeb"/>
                        <w:jc w:val="both"/>
                        <w:rPr>
                          <w:rFonts w:ascii="Verdana" w:hAnsi="Verdana" w:cstheme="minorBidi"/>
                          <w:i/>
                          <w:color w:val="2D7C82"/>
                          <w:sz w:val="22"/>
                          <w:szCs w:val="22"/>
                        </w:rPr>
                      </w:pPr>
                      <w:r w:rsidRPr="00204141">
                        <w:rPr>
                          <w:rFonts w:ascii="Verdana" w:hAnsi="Verdana" w:cstheme="minorBidi"/>
                          <w:i/>
                          <w:color w:val="2D7C82"/>
                          <w:sz w:val="22"/>
                          <w:szCs w:val="22"/>
                        </w:rPr>
                        <w:t>People in contact with the justice system are at a higher risk of poor sexual health and this is often underreported in national datasets. More understanding is required of sexual health service provision in prisons, along with what support is available to reduce sexual health risks on release from prison.</w:t>
                      </w:r>
                    </w:p>
                  </w:txbxContent>
                </v:textbox>
                <w10:anchorlock/>
              </v:shape>
            </w:pict>
          </mc:Fallback>
        </mc:AlternateContent>
      </w:r>
    </w:p>
    <w:p w14:paraId="3F2242EF" w14:textId="77777777" w:rsidR="7FF55879" w:rsidRPr="00AF7733" w:rsidRDefault="3C8158BE" w:rsidP="7FF55879">
      <w:pPr>
        <w:pStyle w:val="NormalWeb"/>
        <w:jc w:val="both"/>
        <w:rPr>
          <w:rFonts w:ascii="Verdana" w:hAnsi="Verdana" w:cstheme="minorBidi"/>
          <w:sz w:val="22"/>
          <w:szCs w:val="22"/>
        </w:rPr>
      </w:pPr>
      <w:r w:rsidRPr="136F3BEB">
        <w:rPr>
          <w:rFonts w:ascii="Verdana" w:hAnsi="Verdana" w:cstheme="minorBidi"/>
          <w:sz w:val="22"/>
          <w:szCs w:val="22"/>
        </w:rPr>
        <w:t>A sexual health needs assessment of prisoners in Kent took place in 2016</w:t>
      </w:r>
      <w:r w:rsidR="00D15EDD" w:rsidRPr="136F3BEB">
        <w:rPr>
          <w:rStyle w:val="FootnoteReference"/>
          <w:rFonts w:ascii="Verdana" w:hAnsi="Verdana" w:cstheme="minorBidi"/>
          <w:sz w:val="22"/>
          <w:szCs w:val="22"/>
        </w:rPr>
        <w:footnoteReference w:id="71"/>
      </w:r>
      <w:r w:rsidRPr="136F3BEB">
        <w:rPr>
          <w:rFonts w:ascii="Verdana" w:hAnsi="Verdana" w:cstheme="minorBidi"/>
          <w:sz w:val="22"/>
          <w:szCs w:val="22"/>
        </w:rPr>
        <w:t>. A summary of the published literature at the time of this HNA described several important sexual health issues amongst the prison population. Risky sexual activity after release from prison</w:t>
      </w:r>
      <w:r w:rsidR="00D15EDD" w:rsidRPr="136F3BEB">
        <w:rPr>
          <w:rStyle w:val="FootnoteReference"/>
          <w:rFonts w:ascii="Verdana" w:hAnsi="Verdana" w:cstheme="minorBidi"/>
          <w:sz w:val="22"/>
          <w:szCs w:val="22"/>
        </w:rPr>
        <w:footnoteReference w:id="72"/>
      </w:r>
      <w:r w:rsidRPr="136F3BEB">
        <w:rPr>
          <w:rFonts w:ascii="Verdana" w:hAnsi="Verdana" w:cstheme="minorBidi"/>
          <w:sz w:val="22"/>
          <w:szCs w:val="22"/>
        </w:rPr>
        <w:t>, higher prevalence of blood-borne viruses (BBVs)</w:t>
      </w:r>
      <w:r w:rsidR="00D15EDD" w:rsidRPr="136F3BEB">
        <w:rPr>
          <w:rStyle w:val="FootnoteReference"/>
          <w:rFonts w:ascii="Verdana" w:hAnsi="Verdana" w:cstheme="minorBidi"/>
          <w:sz w:val="22"/>
          <w:szCs w:val="22"/>
        </w:rPr>
        <w:footnoteReference w:id="73"/>
      </w:r>
      <w:r w:rsidRPr="136F3BEB">
        <w:rPr>
          <w:rFonts w:ascii="Verdana" w:hAnsi="Verdana" w:cstheme="minorBidi"/>
          <w:sz w:val="22"/>
          <w:szCs w:val="22"/>
        </w:rPr>
        <w:t xml:space="preserve"> and issues with compliance with long term treatment for HIV have been reported</w:t>
      </w:r>
      <w:r w:rsidR="00D15EDD" w:rsidRPr="136F3BEB">
        <w:rPr>
          <w:rStyle w:val="FootnoteReference"/>
          <w:rFonts w:ascii="Verdana" w:hAnsi="Verdana" w:cstheme="minorBidi"/>
          <w:sz w:val="22"/>
          <w:szCs w:val="22"/>
        </w:rPr>
        <w:footnoteReference w:id="74"/>
      </w:r>
      <w:r w:rsidRPr="136F3BEB">
        <w:rPr>
          <w:rFonts w:ascii="Verdana" w:hAnsi="Verdana" w:cstheme="minorBidi"/>
          <w:sz w:val="22"/>
          <w:szCs w:val="22"/>
        </w:rPr>
        <w:t>. A large proportion (29%) of prisoner's report having experienced emotional, physical or sexual abuse as a child, with a higher proportion among women</w:t>
      </w:r>
      <w:r w:rsidR="00D15EDD" w:rsidRPr="136F3BEB">
        <w:rPr>
          <w:rStyle w:val="FootnoteReference"/>
          <w:rFonts w:ascii="Verdana" w:hAnsi="Verdana" w:cstheme="minorBidi"/>
          <w:sz w:val="22"/>
          <w:szCs w:val="22"/>
        </w:rPr>
        <w:footnoteReference w:id="75"/>
      </w:r>
      <w:r w:rsidRPr="136F3BEB">
        <w:rPr>
          <w:rFonts w:ascii="Verdana" w:hAnsi="Verdana" w:cstheme="minorBidi"/>
          <w:sz w:val="22"/>
          <w:szCs w:val="22"/>
        </w:rPr>
        <w:t>.</w:t>
      </w:r>
    </w:p>
    <w:p w14:paraId="206EA5DD" w14:textId="77777777" w:rsidR="4A0F6D8A" w:rsidRDefault="356A15B6" w:rsidP="4A0F6D8A">
      <w:pPr>
        <w:pStyle w:val="NormalWeb"/>
        <w:jc w:val="both"/>
        <w:rPr>
          <w:rFonts w:ascii="Verdana" w:hAnsi="Verdana" w:cstheme="minorBidi"/>
          <w:sz w:val="22"/>
          <w:szCs w:val="22"/>
        </w:rPr>
      </w:pPr>
      <w:r w:rsidRPr="00AF7733">
        <w:rPr>
          <w:rFonts w:ascii="Verdana" w:hAnsi="Verdana" w:cstheme="minorBidi"/>
          <w:sz w:val="22"/>
          <w:szCs w:val="22"/>
        </w:rPr>
        <w:lastRenderedPageBreak/>
        <w:t>Based on 2014 data, the estimated number of new STI diagnoses in Kent’s prison population was significantly higher compared to the general population. However, as discussed in the HNA, poor health is under-reported in national datasets and the data on STIs was not sufficient to determine differences in need between the prisons in Kent.</w:t>
      </w:r>
    </w:p>
    <w:p w14:paraId="4FDDDD5C" w14:textId="77777777" w:rsidR="00AF7733" w:rsidRDefault="00AF7733" w:rsidP="4A0F6D8A">
      <w:pPr>
        <w:pStyle w:val="NormalWeb"/>
        <w:jc w:val="both"/>
        <w:rPr>
          <w:rFonts w:ascii="Verdana" w:hAnsi="Verdana" w:cstheme="minorBidi"/>
          <w:sz w:val="22"/>
          <w:szCs w:val="22"/>
        </w:rPr>
      </w:pPr>
      <w:r w:rsidRPr="00AF7733">
        <w:rPr>
          <w:rFonts w:ascii="Verdana" w:hAnsi="Verdana" w:cstheme="minorBidi"/>
          <w:sz w:val="22"/>
          <w:szCs w:val="22"/>
        </w:rPr>
        <w:t>Stakeholder consultation findings were difficulty accessing patients records by staff within the prison, poor transfer of information from prisons to healthcare services, lack of promotion of sexual health and the services available and long waits at that time for asymptomatic STI screening. Interviews with prisoners identified a lack of awareness of the service and variable knowledge about access to condoms and contraception prior to or during times of release from prison.</w:t>
      </w:r>
    </w:p>
    <w:p w14:paraId="0D81F69B" w14:textId="77777777" w:rsidR="00D15EDD" w:rsidRPr="00AF7733" w:rsidRDefault="66AA632E" w:rsidP="49636075">
      <w:pPr>
        <w:pStyle w:val="Heading2"/>
        <w:numPr>
          <w:ilvl w:val="0"/>
          <w:numId w:val="0"/>
        </w:numPr>
        <w:rPr>
          <w:rFonts w:ascii="Verdana" w:eastAsia="Verdana" w:hAnsi="Verdana" w:cs="Verdana"/>
          <w:sz w:val="22"/>
          <w:szCs w:val="22"/>
        </w:rPr>
      </w:pPr>
      <w:bookmarkStart w:id="26" w:name="_Toc1386152145"/>
      <w:r w:rsidRPr="136F3BEB">
        <w:rPr>
          <w:rFonts w:ascii="Verdana" w:hAnsi="Verdana"/>
          <w:sz w:val="22"/>
          <w:szCs w:val="22"/>
        </w:rPr>
        <w:t>3.2.</w:t>
      </w:r>
      <w:r w:rsidR="6F15C0F3" w:rsidRPr="136F3BEB">
        <w:rPr>
          <w:rFonts w:ascii="Verdana" w:eastAsia="Verdana" w:hAnsi="Verdana" w:cs="Verdana"/>
          <w:sz w:val="22"/>
          <w:szCs w:val="22"/>
        </w:rPr>
        <w:t>10</w:t>
      </w:r>
      <w:r w:rsidRPr="136F3BEB">
        <w:rPr>
          <w:rFonts w:ascii="Verdana" w:eastAsia="Verdana" w:hAnsi="Verdana" w:cs="Verdana"/>
          <w:sz w:val="22"/>
          <w:szCs w:val="22"/>
        </w:rPr>
        <w:t xml:space="preserve"> </w:t>
      </w:r>
      <w:r w:rsidR="5EF89FB2" w:rsidRPr="136F3BEB">
        <w:rPr>
          <w:rFonts w:ascii="Verdana" w:eastAsia="Verdana" w:hAnsi="Verdana" w:cs="Verdana"/>
          <w:sz w:val="22"/>
          <w:szCs w:val="22"/>
        </w:rPr>
        <w:t>Homeless Population</w:t>
      </w:r>
      <w:bookmarkEnd w:id="26"/>
    </w:p>
    <w:p w14:paraId="4DDE462A" w14:textId="77777777" w:rsidR="4A0F6D8A" w:rsidRPr="008D6AC4" w:rsidRDefault="3C8158BE" w:rsidP="7FF55879">
      <w:pPr>
        <w:pStyle w:val="NormalWeb"/>
        <w:jc w:val="both"/>
        <w:rPr>
          <w:rFonts w:ascii="Verdana" w:hAnsi="Verdana" w:cstheme="minorBidi"/>
          <w:sz w:val="22"/>
          <w:szCs w:val="22"/>
        </w:rPr>
      </w:pPr>
      <w:r w:rsidRPr="136F3BEB">
        <w:rPr>
          <w:rFonts w:ascii="Verdana" w:hAnsi="Verdana" w:cstheme="minorBidi"/>
          <w:sz w:val="22"/>
          <w:szCs w:val="22"/>
        </w:rPr>
        <w:t>3,577 households in Kent were threatened with homelessness within 56 days and owed a prevention duty (this is a responsibility of housing authorities to support people threatened with homelessness within 56 days and help prevent them from becoming homeless</w:t>
      </w:r>
      <w:r w:rsidR="00D15EDD" w:rsidRPr="136F3BEB">
        <w:rPr>
          <w:rStyle w:val="FootnoteReference"/>
          <w:rFonts w:ascii="Verdana" w:hAnsi="Verdana" w:cstheme="minorBidi"/>
          <w:sz w:val="22"/>
          <w:szCs w:val="22"/>
        </w:rPr>
        <w:footnoteReference w:id="76"/>
      </w:r>
      <w:r w:rsidRPr="136F3BEB">
        <w:rPr>
          <w:rFonts w:ascii="Verdana" w:hAnsi="Verdana" w:cstheme="minorBidi"/>
          <w:sz w:val="22"/>
          <w:szCs w:val="22"/>
        </w:rPr>
        <w:t xml:space="preserve">.) in the financial year 2022/23. 971 of these households were due to a Section 21 notice, a formal notification by a landlord which is the start of the process to end an assured shorthold tenancy. The number of households threatened with homelessness has decreased by 19% between 2022/23 and 2018/19 where there were 4,406 households. Across Kent 3,039 households were deemed homeless with relief duty owed, a 22% decrease from 2018/19 where 3,896 households were deemed homeless.  </w:t>
      </w:r>
    </w:p>
    <w:p w14:paraId="63369964" w14:textId="77777777" w:rsidR="7FF55879" w:rsidRPr="008D6AC4" w:rsidRDefault="3C8158BE" w:rsidP="7FF55879">
      <w:pPr>
        <w:pStyle w:val="NormalWeb"/>
        <w:jc w:val="both"/>
        <w:rPr>
          <w:rFonts w:ascii="Verdana" w:hAnsi="Verdana" w:cstheme="minorBidi"/>
          <w:sz w:val="22"/>
          <w:szCs w:val="22"/>
        </w:rPr>
      </w:pPr>
      <w:r w:rsidRPr="136F3BEB">
        <w:rPr>
          <w:rFonts w:ascii="Verdana" w:hAnsi="Verdana" w:cstheme="minorBidi"/>
          <w:sz w:val="22"/>
          <w:szCs w:val="22"/>
        </w:rPr>
        <w:t>Within Kent the highest number of households threatened with homelessness was in Maidstone with 596 households and Swale had the highest number of homeless homes owed a relief duty (467 households)</w:t>
      </w:r>
      <w:r w:rsidR="00D15EDD" w:rsidRPr="136F3BEB">
        <w:rPr>
          <w:rStyle w:val="FootnoteReference"/>
          <w:rFonts w:ascii="Verdana" w:hAnsi="Verdana" w:cstheme="minorBidi"/>
          <w:sz w:val="22"/>
          <w:szCs w:val="22"/>
        </w:rPr>
        <w:footnoteReference w:id="77"/>
      </w:r>
      <w:r w:rsidRPr="136F3BEB">
        <w:rPr>
          <w:rFonts w:ascii="Verdana" w:hAnsi="Verdana" w:cstheme="minorBidi"/>
          <w:sz w:val="22"/>
          <w:szCs w:val="22"/>
        </w:rPr>
        <w:t xml:space="preserve">. </w:t>
      </w:r>
    </w:p>
    <w:p w14:paraId="40A76CE4" w14:textId="77777777" w:rsidR="4A0F6D8A" w:rsidRPr="00AF7733" w:rsidRDefault="3C8158BE" w:rsidP="7FF55879">
      <w:pPr>
        <w:pStyle w:val="NormalWeb"/>
        <w:jc w:val="both"/>
        <w:rPr>
          <w:rFonts w:ascii="Verdana" w:hAnsi="Verdana" w:cstheme="minorBidi"/>
          <w:sz w:val="22"/>
          <w:szCs w:val="22"/>
        </w:rPr>
      </w:pPr>
      <w:r w:rsidRPr="136F3BEB">
        <w:rPr>
          <w:rFonts w:ascii="Verdana" w:hAnsi="Verdana" w:cstheme="minorBidi"/>
          <w:sz w:val="22"/>
          <w:szCs w:val="22"/>
        </w:rPr>
        <w:t>The SHIFT project</w:t>
      </w:r>
      <w:r w:rsidR="00D15EDD" w:rsidRPr="136F3BEB">
        <w:rPr>
          <w:rStyle w:val="FootnoteReference"/>
          <w:rFonts w:ascii="Verdana" w:hAnsi="Verdana" w:cstheme="minorBidi"/>
          <w:sz w:val="22"/>
          <w:szCs w:val="22"/>
        </w:rPr>
        <w:footnoteReference w:id="78"/>
      </w:r>
      <w:r w:rsidRPr="136F3BEB">
        <w:rPr>
          <w:rFonts w:ascii="Verdana" w:hAnsi="Verdana" w:cstheme="minorBidi"/>
          <w:sz w:val="22"/>
          <w:szCs w:val="22"/>
        </w:rPr>
        <w:t xml:space="preserve"> in 2021 collected survey data from four different outreach activities. Participants who were homeless reported difficulties accessing STI testing and contraception due to shifts to ‘at-home’ services which required an address. Paying for travel to appointments was also raised as a barrier. Most of the cohort interviewed were not currently sexually active, with many not considering how they would practice safe sex and some having a lack of knowledge on contraception and prevention of pregnancy. However, those who misused drugs and alcohol were aware of having impaired judgement that could affect their risk of poor sexual health. </w:t>
      </w:r>
      <w:r w:rsidR="7B3B2CF4" w:rsidRPr="136F3BEB">
        <w:rPr>
          <w:rFonts w:ascii="Verdana" w:hAnsi="Verdana" w:cstheme="minorBidi"/>
          <w:sz w:val="22"/>
          <w:szCs w:val="22"/>
        </w:rPr>
        <w:t>Findings from this project indicate that this population should be a focus for outreach work.</w:t>
      </w:r>
    </w:p>
    <w:p w14:paraId="72093F51" w14:textId="77777777" w:rsidR="00D15EDD" w:rsidRPr="00AF7733" w:rsidRDefault="10401003" w:rsidP="49636075">
      <w:pPr>
        <w:pStyle w:val="Heading2"/>
        <w:numPr>
          <w:ilvl w:val="0"/>
          <w:numId w:val="0"/>
        </w:numPr>
        <w:rPr>
          <w:rFonts w:ascii="Verdana" w:eastAsia="Verdana" w:hAnsi="Verdana" w:cs="Verdana"/>
          <w:sz w:val="22"/>
          <w:szCs w:val="22"/>
        </w:rPr>
      </w:pPr>
      <w:bookmarkStart w:id="27" w:name="_Toc1610653789"/>
      <w:r w:rsidRPr="136F3BEB">
        <w:rPr>
          <w:rFonts w:ascii="Verdana" w:hAnsi="Verdana"/>
          <w:sz w:val="22"/>
          <w:szCs w:val="22"/>
        </w:rPr>
        <w:lastRenderedPageBreak/>
        <w:t>3.2.1</w:t>
      </w:r>
      <w:r w:rsidR="05796244" w:rsidRPr="136F3BEB">
        <w:rPr>
          <w:rFonts w:ascii="Verdana" w:eastAsia="Verdana" w:hAnsi="Verdana" w:cs="Verdana"/>
          <w:sz w:val="22"/>
          <w:szCs w:val="22"/>
        </w:rPr>
        <w:t>1</w:t>
      </w:r>
      <w:r w:rsidRPr="136F3BEB">
        <w:rPr>
          <w:rFonts w:ascii="Verdana" w:eastAsia="Verdana" w:hAnsi="Verdana" w:cs="Verdana"/>
          <w:sz w:val="22"/>
          <w:szCs w:val="22"/>
        </w:rPr>
        <w:t xml:space="preserve"> </w:t>
      </w:r>
      <w:r w:rsidR="5EF89FB2" w:rsidRPr="136F3BEB">
        <w:rPr>
          <w:rFonts w:ascii="Verdana" w:eastAsia="Verdana" w:hAnsi="Verdana" w:cs="Verdana"/>
          <w:sz w:val="22"/>
          <w:szCs w:val="22"/>
        </w:rPr>
        <w:t>Women’s Health</w:t>
      </w:r>
      <w:bookmarkEnd w:id="27"/>
    </w:p>
    <w:p w14:paraId="67CEF41E" w14:textId="77777777" w:rsidR="7FF55879" w:rsidRPr="008D6AC4" w:rsidRDefault="3C8158BE" w:rsidP="7FF55879">
      <w:pPr>
        <w:pStyle w:val="NormalWeb"/>
        <w:jc w:val="both"/>
        <w:rPr>
          <w:rFonts w:ascii="Verdana" w:hAnsi="Verdana" w:cstheme="minorBidi"/>
          <w:sz w:val="22"/>
          <w:szCs w:val="22"/>
        </w:rPr>
      </w:pPr>
      <w:r w:rsidRPr="136F3BEB">
        <w:rPr>
          <w:rFonts w:ascii="Verdana" w:hAnsi="Verdana" w:cstheme="minorBidi"/>
          <w:sz w:val="22"/>
          <w:szCs w:val="22"/>
        </w:rPr>
        <w:t>Women are disproportionately impacted by the consequences of STI’s</w:t>
      </w:r>
      <w:r w:rsidR="00D15EDD" w:rsidRPr="136F3BEB">
        <w:rPr>
          <w:rStyle w:val="FootnoteReference"/>
          <w:rFonts w:ascii="Verdana" w:hAnsi="Verdana" w:cstheme="minorBidi"/>
          <w:sz w:val="22"/>
          <w:szCs w:val="22"/>
        </w:rPr>
        <w:footnoteReference w:id="79"/>
      </w:r>
      <w:r w:rsidRPr="136F3BEB">
        <w:rPr>
          <w:rFonts w:ascii="Verdana" w:hAnsi="Verdana" w:cstheme="minorBidi"/>
          <w:sz w:val="22"/>
          <w:szCs w:val="22"/>
        </w:rPr>
        <w:t>. This can include chronic abdominal pain, infertility, and ectopic pregnancy. As previously highlighted, women are also more likely to be victims of sexual violence and abuse and therefore may be more likely to experience adverse psychological, social, physical and psychosexual issues</w:t>
      </w:r>
      <w:r w:rsidR="00D15EDD" w:rsidRPr="136F3BEB">
        <w:rPr>
          <w:rStyle w:val="FootnoteReference"/>
          <w:rFonts w:ascii="Verdana" w:hAnsi="Verdana" w:cstheme="minorBidi"/>
          <w:sz w:val="22"/>
          <w:szCs w:val="22"/>
        </w:rPr>
        <w:footnoteReference w:id="80"/>
      </w:r>
      <w:r w:rsidRPr="136F3BEB">
        <w:rPr>
          <w:rFonts w:ascii="Verdana" w:hAnsi="Verdana" w:cstheme="minorBidi"/>
          <w:sz w:val="22"/>
          <w:szCs w:val="22"/>
        </w:rPr>
        <w:t xml:space="preserve">. </w:t>
      </w:r>
      <w:r w:rsidR="1EA4BD2C" w:rsidRPr="136F3BEB">
        <w:rPr>
          <w:rFonts w:ascii="Verdana" w:hAnsi="Verdana" w:cstheme="minorBidi"/>
          <w:sz w:val="22"/>
          <w:szCs w:val="22"/>
        </w:rPr>
        <w:t>Gender inequalities contribute to and can lead to the disproportionate difference in sexual violence victims being women, and therefore tackling gender inequalities can improve outcomes for women</w:t>
      </w:r>
      <w:r w:rsidR="00652F08" w:rsidRPr="136F3BEB">
        <w:rPr>
          <w:rStyle w:val="FootnoteReference"/>
          <w:rFonts w:ascii="Verdana" w:hAnsi="Verdana" w:cstheme="minorBidi"/>
          <w:sz w:val="22"/>
          <w:szCs w:val="22"/>
        </w:rPr>
        <w:footnoteReference w:id="81"/>
      </w:r>
      <w:r w:rsidR="1EA4BD2C" w:rsidRPr="136F3BEB">
        <w:rPr>
          <w:rFonts w:ascii="Verdana" w:hAnsi="Verdana" w:cstheme="minorBidi"/>
          <w:sz w:val="22"/>
          <w:szCs w:val="22"/>
        </w:rPr>
        <w:t xml:space="preserve">. </w:t>
      </w:r>
      <w:r w:rsidRPr="136F3BEB">
        <w:rPr>
          <w:rFonts w:ascii="Verdana" w:hAnsi="Verdana" w:cstheme="minorBidi"/>
          <w:sz w:val="22"/>
          <w:szCs w:val="22"/>
        </w:rPr>
        <w:t>Women who experience sexual abuse are at a high risk of sexually transmitted infection</w:t>
      </w:r>
      <w:r w:rsidR="00D15EDD" w:rsidRPr="136F3BEB">
        <w:rPr>
          <w:rStyle w:val="FootnoteReference"/>
          <w:rFonts w:ascii="Verdana" w:hAnsi="Verdana" w:cstheme="minorBidi"/>
          <w:sz w:val="22"/>
          <w:szCs w:val="22"/>
        </w:rPr>
        <w:footnoteReference w:id="82"/>
      </w:r>
      <w:r w:rsidRPr="136F3BEB">
        <w:rPr>
          <w:rFonts w:ascii="Verdana" w:hAnsi="Verdana" w:cstheme="minorBidi"/>
          <w:sz w:val="22"/>
          <w:szCs w:val="22"/>
        </w:rPr>
        <w:t xml:space="preserve">. </w:t>
      </w:r>
      <w:bookmarkStart w:id="28" w:name="_Hlk174691721"/>
      <w:r w:rsidR="1EA4BD2C" w:rsidRPr="136F3BEB">
        <w:rPr>
          <w:rFonts w:ascii="Verdana" w:hAnsi="Verdana" w:cstheme="minorBidi"/>
          <w:sz w:val="22"/>
          <w:szCs w:val="22"/>
        </w:rPr>
        <w:t>Therefore, u</w:t>
      </w:r>
      <w:r w:rsidRPr="136F3BEB">
        <w:rPr>
          <w:rFonts w:ascii="Verdana" w:hAnsi="Verdana" w:cstheme="minorBidi"/>
          <w:sz w:val="22"/>
          <w:szCs w:val="22"/>
        </w:rPr>
        <w:t>nderstanding</w:t>
      </w:r>
      <w:r w:rsidR="1EA4BD2C" w:rsidRPr="136F3BEB">
        <w:rPr>
          <w:rFonts w:ascii="Verdana" w:hAnsi="Verdana" w:cstheme="minorBidi"/>
          <w:sz w:val="22"/>
          <w:szCs w:val="22"/>
        </w:rPr>
        <w:t xml:space="preserve"> better</w:t>
      </w:r>
      <w:r w:rsidRPr="136F3BEB">
        <w:rPr>
          <w:rFonts w:ascii="Verdana" w:hAnsi="Verdana" w:cstheme="minorBidi"/>
          <w:sz w:val="22"/>
          <w:szCs w:val="22"/>
        </w:rPr>
        <w:t xml:space="preserve"> the sexual health implications of violence against women and girls is a recommended priority for Kent. </w:t>
      </w:r>
      <w:bookmarkEnd w:id="28"/>
    </w:p>
    <w:p w14:paraId="0978201B" w14:textId="77777777" w:rsidR="7FF55879" w:rsidRPr="008D6AC4" w:rsidRDefault="3C8158BE" w:rsidP="7FF55879">
      <w:pPr>
        <w:pStyle w:val="NormalWeb"/>
        <w:jc w:val="both"/>
        <w:rPr>
          <w:rFonts w:ascii="Verdana" w:hAnsi="Verdana" w:cstheme="minorBidi"/>
          <w:sz w:val="22"/>
          <w:szCs w:val="22"/>
        </w:rPr>
      </w:pPr>
      <w:r w:rsidRPr="136F3BEB">
        <w:rPr>
          <w:rFonts w:ascii="Verdana" w:hAnsi="Verdana" w:cstheme="minorBidi"/>
          <w:sz w:val="22"/>
          <w:szCs w:val="22"/>
        </w:rPr>
        <w:t>The Women’s Health Strategy</w:t>
      </w:r>
      <w:r w:rsidR="00D15EDD" w:rsidRPr="136F3BEB">
        <w:rPr>
          <w:rStyle w:val="FootnoteReference"/>
          <w:rFonts w:ascii="Verdana" w:hAnsi="Verdana" w:cstheme="minorBidi"/>
          <w:sz w:val="22"/>
          <w:szCs w:val="22"/>
        </w:rPr>
        <w:footnoteReference w:id="83"/>
      </w:r>
      <w:r w:rsidRPr="136F3BEB">
        <w:rPr>
          <w:rFonts w:ascii="Verdana" w:hAnsi="Verdana" w:cstheme="minorBidi"/>
          <w:sz w:val="22"/>
          <w:szCs w:val="22"/>
        </w:rPr>
        <w:t xml:space="preserve"> aims to identify stages, transitions and settings for promoting good health, preventing negative health outcomes and restoring health and wellbeing, which are all relevant to sexual health. In a call for evidence public survey</w:t>
      </w:r>
      <w:r w:rsidR="00D15EDD" w:rsidRPr="136F3BEB">
        <w:rPr>
          <w:rStyle w:val="FootnoteReference"/>
          <w:rFonts w:ascii="Verdana" w:hAnsi="Verdana" w:cstheme="minorBidi"/>
          <w:sz w:val="22"/>
          <w:szCs w:val="22"/>
        </w:rPr>
        <w:footnoteReference w:id="84"/>
      </w:r>
      <w:r w:rsidRPr="136F3BEB">
        <w:rPr>
          <w:rFonts w:ascii="Verdana" w:hAnsi="Verdana" w:cstheme="minorBidi"/>
          <w:sz w:val="22"/>
          <w:szCs w:val="22"/>
        </w:rPr>
        <w:t xml:space="preserve"> a wide range of issues were raised, with 55% of respondents selecting fertility, pregnancy, and pregnancy loss as a key topic for prioritisation. Therefore, sexual health services can contribute to improving these issues for women with the services that it has within its remit, such as access to contraception. </w:t>
      </w:r>
    </w:p>
    <w:p w14:paraId="6074734A" w14:textId="77777777" w:rsidR="7FF55879" w:rsidRPr="008D6AC4" w:rsidRDefault="7AE037BE" w:rsidP="7FF55879">
      <w:pPr>
        <w:pStyle w:val="NormalWeb"/>
        <w:jc w:val="both"/>
        <w:rPr>
          <w:rFonts w:ascii="Verdana" w:hAnsi="Verdana" w:cstheme="minorBidi"/>
          <w:sz w:val="22"/>
          <w:szCs w:val="22"/>
        </w:rPr>
      </w:pPr>
      <w:r w:rsidRPr="008D6AC4">
        <w:rPr>
          <w:rFonts w:ascii="Verdana" w:hAnsi="Verdana" w:cstheme="minorBidi"/>
          <w:sz w:val="22"/>
          <w:szCs w:val="22"/>
        </w:rPr>
        <w:t>Only 9% agreed they had enough information on specialist sexual assault referral centres and female genital mutilation clinics. Many women flagged that their GP service was not sufficient for their sexual health and contraceptive needs, but that sexual health clinics can be hard to access.</w:t>
      </w:r>
    </w:p>
    <w:p w14:paraId="6E77C2A9" w14:textId="77777777" w:rsidR="7FF55879" w:rsidRPr="008D6AC4" w:rsidRDefault="3C8158BE" w:rsidP="7FF55879">
      <w:pPr>
        <w:pStyle w:val="NormalWeb"/>
        <w:jc w:val="both"/>
        <w:rPr>
          <w:rFonts w:ascii="Verdana" w:hAnsi="Verdana" w:cstheme="minorBidi"/>
          <w:sz w:val="22"/>
          <w:szCs w:val="22"/>
        </w:rPr>
      </w:pPr>
      <w:r w:rsidRPr="136F3BEB">
        <w:rPr>
          <w:rFonts w:ascii="Verdana" w:hAnsi="Verdana" w:cstheme="minorBidi"/>
          <w:sz w:val="22"/>
          <w:szCs w:val="22"/>
        </w:rPr>
        <w:t>The strategy encourages the expansion of women’s health hubs</w:t>
      </w:r>
      <w:r w:rsidR="00D15EDD" w:rsidRPr="136F3BEB">
        <w:rPr>
          <w:rStyle w:val="FootnoteReference"/>
          <w:rFonts w:ascii="Verdana" w:hAnsi="Verdana" w:cstheme="minorBidi"/>
          <w:sz w:val="22"/>
          <w:szCs w:val="22"/>
        </w:rPr>
        <w:footnoteReference w:id="85"/>
      </w:r>
      <w:r w:rsidRPr="136F3BEB">
        <w:rPr>
          <w:rFonts w:ascii="Verdana" w:hAnsi="Verdana" w:cstheme="minorBidi"/>
          <w:sz w:val="22"/>
          <w:szCs w:val="22"/>
        </w:rPr>
        <w:t xml:space="preserve"> to improve access to services and health outcomes. These hubs aim to provide integrated women’s health services in the community and will involve partnership working and collaborative commissioning of contraception services. Key services that may be provided within a hub, relating to sexual health include provision of contraception, including LARC and emergency hormonal contraception, and </w:t>
      </w:r>
      <w:r w:rsidRPr="136F3BEB">
        <w:rPr>
          <w:rFonts w:ascii="Verdana" w:hAnsi="Verdana" w:cstheme="minorBidi"/>
          <w:sz w:val="22"/>
          <w:szCs w:val="22"/>
        </w:rPr>
        <w:lastRenderedPageBreak/>
        <w:t>screening and treatment for STIs and HIV. In Kent, it is anticipated that by the end of 2024 there will be multiple Women’s Health Hubs established.</w:t>
      </w:r>
    </w:p>
    <w:p w14:paraId="0373B300" w14:textId="77777777" w:rsidR="3FFE5A50" w:rsidRPr="0089791B" w:rsidRDefault="6D673EC0" w:rsidP="49636075">
      <w:pPr>
        <w:pStyle w:val="Heading2"/>
        <w:numPr>
          <w:ilvl w:val="0"/>
          <w:numId w:val="0"/>
        </w:numPr>
        <w:rPr>
          <w:rFonts w:ascii="Verdana" w:hAnsi="Verdana"/>
          <w:sz w:val="22"/>
          <w:szCs w:val="22"/>
        </w:rPr>
      </w:pPr>
      <w:bookmarkStart w:id="29" w:name="_Toc268739179"/>
      <w:r w:rsidRPr="136F3BEB">
        <w:rPr>
          <w:rFonts w:ascii="Verdana" w:hAnsi="Verdana"/>
          <w:sz w:val="22"/>
          <w:szCs w:val="22"/>
        </w:rPr>
        <w:t xml:space="preserve">3.2.12 </w:t>
      </w:r>
      <w:r w:rsidR="58DFAD64" w:rsidRPr="136F3BEB">
        <w:rPr>
          <w:rFonts w:ascii="Verdana" w:hAnsi="Verdana"/>
          <w:sz w:val="22"/>
          <w:szCs w:val="22"/>
        </w:rPr>
        <w:t>Intersectionality</w:t>
      </w:r>
      <w:bookmarkEnd w:id="29"/>
    </w:p>
    <w:p w14:paraId="08A6C62B" w14:textId="77777777" w:rsidR="6BC7A20D" w:rsidRPr="00AF7733" w:rsidRDefault="047C00E5" w:rsidP="49636075">
      <w:pPr>
        <w:pStyle w:val="NormalWeb"/>
        <w:jc w:val="both"/>
        <w:rPr>
          <w:rFonts w:ascii="Verdana" w:eastAsia="Verdana" w:hAnsi="Verdana" w:cs="Verdana"/>
          <w:sz w:val="22"/>
          <w:szCs w:val="22"/>
        </w:rPr>
      </w:pPr>
      <w:r w:rsidRPr="136F3BEB">
        <w:rPr>
          <w:rFonts w:ascii="Verdana" w:hAnsi="Verdana" w:cstheme="minorBidi"/>
          <w:sz w:val="22"/>
          <w:szCs w:val="22"/>
        </w:rPr>
        <w:t xml:space="preserve">Whilst the sections above consider specific factors that may </w:t>
      </w:r>
      <w:r w:rsidR="6EC2F636" w:rsidRPr="136F3BEB">
        <w:rPr>
          <w:rFonts w:ascii="Verdana" w:hAnsi="Verdana" w:cstheme="minorBidi"/>
          <w:sz w:val="22"/>
          <w:szCs w:val="22"/>
        </w:rPr>
        <w:t xml:space="preserve">contribute to </w:t>
      </w:r>
      <w:r w:rsidRPr="136F3BEB">
        <w:rPr>
          <w:rFonts w:ascii="Verdana" w:hAnsi="Verdana" w:cstheme="minorBidi"/>
          <w:sz w:val="22"/>
          <w:szCs w:val="22"/>
        </w:rPr>
        <w:t>people in our Kent population</w:t>
      </w:r>
      <w:r w:rsidR="3D16DD17" w:rsidRPr="136F3BEB">
        <w:rPr>
          <w:rFonts w:ascii="Verdana" w:hAnsi="Verdana" w:cstheme="minorBidi"/>
          <w:sz w:val="22"/>
          <w:szCs w:val="22"/>
        </w:rPr>
        <w:t xml:space="preserve"> being at</w:t>
      </w:r>
      <w:r w:rsidRPr="136F3BEB">
        <w:rPr>
          <w:rFonts w:ascii="Verdana" w:hAnsi="Verdana" w:cstheme="minorBidi"/>
          <w:sz w:val="22"/>
          <w:szCs w:val="22"/>
        </w:rPr>
        <w:t xml:space="preserve"> higher risk of poorer sexual health outcomes, the reality is that there</w:t>
      </w:r>
      <w:r w:rsidR="628419B1" w:rsidRPr="136F3BEB">
        <w:rPr>
          <w:rFonts w:ascii="Verdana" w:hAnsi="Verdana" w:cstheme="minorBidi"/>
          <w:sz w:val="22"/>
          <w:szCs w:val="22"/>
        </w:rPr>
        <w:t xml:space="preserve"> are residents</w:t>
      </w:r>
      <w:r w:rsidR="12C741D5" w:rsidRPr="136F3BEB">
        <w:rPr>
          <w:rFonts w:ascii="Verdana" w:hAnsi="Verdana" w:cstheme="minorBidi"/>
          <w:sz w:val="22"/>
          <w:szCs w:val="22"/>
        </w:rPr>
        <w:t xml:space="preserve"> within our communities who experience several of these.</w:t>
      </w:r>
      <w:r w:rsidR="7EE9B4F1" w:rsidRPr="136F3BEB">
        <w:rPr>
          <w:rFonts w:ascii="Verdana" w:hAnsi="Verdana" w:cstheme="minorBidi"/>
          <w:sz w:val="22"/>
          <w:szCs w:val="22"/>
        </w:rPr>
        <w:t xml:space="preserve"> </w:t>
      </w:r>
      <w:r w:rsidR="0887A911" w:rsidRPr="00AF7733">
        <w:rPr>
          <w:rFonts w:ascii="Verdana" w:eastAsia="Verdana" w:hAnsi="Verdana" w:cs="Verdana"/>
          <w:sz w:val="22"/>
          <w:szCs w:val="22"/>
        </w:rPr>
        <w:t xml:space="preserve">A report </w:t>
      </w:r>
      <w:r w:rsidR="306C6740" w:rsidRPr="00AF7733">
        <w:rPr>
          <w:rFonts w:ascii="Verdana" w:eastAsia="Verdana" w:hAnsi="Verdana" w:cs="Verdana"/>
          <w:sz w:val="22"/>
          <w:szCs w:val="22"/>
        </w:rPr>
        <w:t xml:space="preserve">by the Lankelly Chase Foundation </w:t>
      </w:r>
      <w:r w:rsidR="0887A911" w:rsidRPr="00AF7733">
        <w:rPr>
          <w:rFonts w:ascii="Verdana" w:eastAsia="Verdana" w:hAnsi="Verdana" w:cs="Verdana"/>
          <w:sz w:val="22"/>
          <w:szCs w:val="22"/>
        </w:rPr>
        <w:t xml:space="preserve">titled: </w:t>
      </w:r>
      <w:r w:rsidR="0BBC2D8D" w:rsidRPr="00AF7733">
        <w:rPr>
          <w:rFonts w:ascii="Verdana" w:eastAsia="Verdana" w:hAnsi="Verdana" w:cs="Verdana"/>
          <w:sz w:val="22"/>
          <w:szCs w:val="22"/>
        </w:rPr>
        <w:t>‘</w:t>
      </w:r>
      <w:r w:rsidR="0887A911" w:rsidRPr="00AF7733">
        <w:rPr>
          <w:rFonts w:ascii="Verdana" w:eastAsia="Verdana" w:hAnsi="Verdana" w:cs="Verdana"/>
          <w:sz w:val="22"/>
          <w:szCs w:val="22"/>
        </w:rPr>
        <w:t>Hard Edges Mapping severe and multiple disadvantage</w:t>
      </w:r>
      <w:r w:rsidR="1099FC4A" w:rsidRPr="00AF7733">
        <w:rPr>
          <w:rStyle w:val="FootnoteReference"/>
          <w:rFonts w:ascii="Verdana" w:eastAsia="Verdana" w:hAnsi="Verdana" w:cs="Verdana"/>
          <w:sz w:val="22"/>
          <w:szCs w:val="22"/>
        </w:rPr>
        <w:footnoteReference w:id="86"/>
      </w:r>
      <w:r w:rsidR="58D4918C" w:rsidRPr="00AF7733">
        <w:rPr>
          <w:rFonts w:ascii="Verdana" w:eastAsia="Verdana" w:hAnsi="Verdana" w:cs="Verdana"/>
          <w:sz w:val="22"/>
          <w:szCs w:val="22"/>
        </w:rPr>
        <w:t>’</w:t>
      </w:r>
      <w:r w:rsidR="0887A911" w:rsidRPr="00AF7733">
        <w:rPr>
          <w:rFonts w:ascii="Verdana" w:eastAsia="Verdana" w:hAnsi="Verdana" w:cs="Verdana"/>
          <w:sz w:val="22"/>
          <w:szCs w:val="22"/>
        </w:rPr>
        <w:t>concluded that current support systems struggle to deliver positive outcomes in more complex cases</w:t>
      </w:r>
      <w:r w:rsidR="14169A73" w:rsidRPr="00AF7733">
        <w:rPr>
          <w:rFonts w:ascii="Verdana" w:eastAsia="Verdana" w:hAnsi="Verdana" w:cs="Verdana"/>
          <w:sz w:val="22"/>
          <w:szCs w:val="22"/>
        </w:rPr>
        <w:t xml:space="preserve">. </w:t>
      </w:r>
      <w:r w:rsidR="4022036A" w:rsidRPr="136F3BEB">
        <w:rPr>
          <w:rFonts w:ascii="Verdana" w:hAnsi="Verdana" w:cstheme="minorBidi"/>
          <w:sz w:val="22"/>
          <w:szCs w:val="22"/>
        </w:rPr>
        <w:t>There is work underway at present by the KCC Public Health team to better understand the needs of local groups who experience one or more of the above factors to ensure that we are optimally meeting their needs.</w:t>
      </w:r>
    </w:p>
    <w:p w14:paraId="010D17D2" w14:textId="77777777" w:rsidR="00D15EDD" w:rsidRPr="0089791B" w:rsidRDefault="29725998" w:rsidP="49636075">
      <w:pPr>
        <w:pStyle w:val="Heading2"/>
        <w:numPr>
          <w:ilvl w:val="0"/>
          <w:numId w:val="0"/>
        </w:numPr>
        <w:rPr>
          <w:rFonts w:ascii="Verdana" w:hAnsi="Verdana"/>
          <w:sz w:val="22"/>
          <w:szCs w:val="22"/>
        </w:rPr>
      </w:pPr>
      <w:bookmarkStart w:id="30" w:name="_Toc2004891635"/>
      <w:r w:rsidRPr="136F3BEB">
        <w:rPr>
          <w:rFonts w:ascii="Verdana" w:hAnsi="Verdana"/>
          <w:sz w:val="22"/>
          <w:szCs w:val="22"/>
        </w:rPr>
        <w:t>3.2.</w:t>
      </w:r>
      <w:r w:rsidR="79356042" w:rsidRPr="136F3BEB">
        <w:rPr>
          <w:rFonts w:ascii="Verdana" w:hAnsi="Verdana"/>
          <w:sz w:val="22"/>
          <w:szCs w:val="22"/>
        </w:rPr>
        <w:t>1</w:t>
      </w:r>
      <w:r w:rsidR="6118D2CE" w:rsidRPr="136F3BEB">
        <w:rPr>
          <w:rFonts w:ascii="Verdana" w:hAnsi="Verdana"/>
          <w:sz w:val="22"/>
          <w:szCs w:val="22"/>
        </w:rPr>
        <w:t>3</w:t>
      </w:r>
      <w:r w:rsidRPr="136F3BEB">
        <w:rPr>
          <w:rFonts w:ascii="Verdana" w:hAnsi="Verdana"/>
          <w:sz w:val="22"/>
          <w:szCs w:val="22"/>
        </w:rPr>
        <w:t xml:space="preserve"> </w:t>
      </w:r>
      <w:r w:rsidR="5EF89FB2" w:rsidRPr="136F3BEB">
        <w:rPr>
          <w:rFonts w:ascii="Verdana" w:hAnsi="Verdana"/>
          <w:sz w:val="22"/>
          <w:szCs w:val="22"/>
        </w:rPr>
        <w:t>Conclusion</w:t>
      </w:r>
      <w:bookmarkEnd w:id="30"/>
    </w:p>
    <w:p w14:paraId="6E578F9B" w14:textId="77777777" w:rsidR="00A05D3D" w:rsidRPr="008D6AC4" w:rsidRDefault="00D15EDD" w:rsidP="25F23E21">
      <w:pPr>
        <w:pStyle w:val="NormalWeb"/>
        <w:jc w:val="both"/>
        <w:rPr>
          <w:rFonts w:ascii="Verdana" w:hAnsi="Verdana" w:cstheme="minorBidi"/>
          <w:sz w:val="22"/>
          <w:szCs w:val="22"/>
          <w:specVanish/>
        </w:rPr>
      </w:pPr>
      <w:r w:rsidRPr="00AF7733">
        <w:rPr>
          <w:rFonts w:ascii="Verdana" w:hAnsi="Verdana" w:cstheme="minorBidi"/>
          <w:sz w:val="22"/>
          <w:szCs w:val="22"/>
        </w:rPr>
        <w:t>As described in this section, the factors that influence sexual health outcomes for the groups most at risk of poor sexual health are wide-ranging. For some groups at a high risk, there is a</w:t>
      </w:r>
      <w:r w:rsidRPr="008D6AC4">
        <w:rPr>
          <w:rFonts w:ascii="Verdana" w:hAnsi="Verdana" w:cstheme="minorBidi"/>
          <w:sz w:val="22"/>
          <w:szCs w:val="22"/>
        </w:rPr>
        <w:t xml:space="preserve"> lack of local data to understand their sexual health needs, which may be different to those of the general population. For some groups, including GRT people and those experiencing sexual abuse and violence, women are at higher risk of poor sexual health, for which women’s health hubs may provide additional support</w:t>
      </w:r>
      <w:r w:rsidR="5536F538" w:rsidRPr="008D6AC4">
        <w:rPr>
          <w:rFonts w:ascii="Verdana" w:hAnsi="Verdana" w:cstheme="minorBidi"/>
          <w:sz w:val="22"/>
          <w:szCs w:val="22"/>
        </w:rPr>
        <w:t>.</w:t>
      </w:r>
      <w:r w:rsidR="00A05D3D" w:rsidRPr="008D6AC4">
        <w:rPr>
          <w:rFonts w:ascii="Verdana" w:hAnsi="Verdana"/>
          <w:b/>
          <w:color w:val="2D7C82"/>
          <w:sz w:val="32"/>
          <w:szCs w:val="32"/>
        </w:rPr>
        <w:br w:type="page"/>
      </w:r>
    </w:p>
    <w:p w14:paraId="302D0F9E" w14:textId="77777777" w:rsidR="00A05D3D" w:rsidRPr="0089791B" w:rsidRDefault="2CC6DFF0" w:rsidP="4A0F6D8A">
      <w:pPr>
        <w:pStyle w:val="Heading1"/>
        <w:numPr>
          <w:ilvl w:val="0"/>
          <w:numId w:val="0"/>
        </w:numPr>
        <w:rPr>
          <w:rFonts w:ascii="Verdana" w:hAnsi="Verdana"/>
          <w:color w:val="2D7C82"/>
          <w:sz w:val="28"/>
          <w:szCs w:val="28"/>
        </w:rPr>
      </w:pPr>
      <w:bookmarkStart w:id="31" w:name="_Toc1965426297"/>
      <w:r w:rsidRPr="136F3BEB">
        <w:rPr>
          <w:rFonts w:ascii="Verdana" w:hAnsi="Verdana"/>
          <w:color w:val="2D7C82"/>
          <w:sz w:val="28"/>
          <w:szCs w:val="28"/>
        </w:rPr>
        <w:lastRenderedPageBreak/>
        <w:t>4</w:t>
      </w:r>
      <w:r w:rsidR="2299A93D" w:rsidRPr="136F3BEB">
        <w:rPr>
          <w:rFonts w:ascii="Verdana" w:hAnsi="Verdana"/>
          <w:color w:val="2D7C82"/>
          <w:sz w:val="28"/>
          <w:szCs w:val="28"/>
        </w:rPr>
        <w:t>.</w:t>
      </w:r>
      <w:r w:rsidR="6AFE13DC">
        <w:tab/>
      </w:r>
      <w:r w:rsidR="21D35426" w:rsidRPr="136F3BEB">
        <w:rPr>
          <w:rFonts w:ascii="Verdana" w:hAnsi="Verdana"/>
          <w:color w:val="2D7C82"/>
          <w:sz w:val="28"/>
          <w:szCs w:val="28"/>
        </w:rPr>
        <w:t>Kent’s Sexual Health Needs</w:t>
      </w:r>
      <w:bookmarkEnd w:id="31"/>
    </w:p>
    <w:p w14:paraId="4BBCEB67" w14:textId="77777777" w:rsidR="00A05D3D" w:rsidRPr="0089791B" w:rsidRDefault="5EFB1C08" w:rsidP="4A0F6D8A">
      <w:pPr>
        <w:pStyle w:val="Heading2"/>
        <w:numPr>
          <w:ilvl w:val="0"/>
          <w:numId w:val="0"/>
        </w:numPr>
        <w:rPr>
          <w:rFonts w:ascii="Verdana" w:eastAsia="Verdana" w:hAnsi="Verdana" w:cs="Verdana"/>
          <w:sz w:val="24"/>
          <w:szCs w:val="24"/>
        </w:rPr>
      </w:pPr>
      <w:bookmarkStart w:id="32" w:name="_Toc2105198890"/>
      <w:r w:rsidRPr="136F3BEB">
        <w:rPr>
          <w:rFonts w:ascii="Verdana" w:eastAsia="Verdana" w:hAnsi="Verdana" w:cs="Verdana"/>
          <w:sz w:val="24"/>
          <w:szCs w:val="24"/>
        </w:rPr>
        <w:t xml:space="preserve">4.1 </w:t>
      </w:r>
      <w:r w:rsidR="21D35426" w:rsidRPr="136F3BEB">
        <w:rPr>
          <w:rFonts w:ascii="Verdana" w:eastAsia="Verdana" w:hAnsi="Verdana" w:cs="Verdana"/>
          <w:sz w:val="24"/>
          <w:szCs w:val="24"/>
        </w:rPr>
        <w:t>Sexually Transmitted Infections</w:t>
      </w:r>
      <w:bookmarkEnd w:id="32"/>
    </w:p>
    <w:p w14:paraId="299FA171" w14:textId="77777777" w:rsidR="006E429D" w:rsidRPr="008D6AC4" w:rsidRDefault="5EB7D9F6" w:rsidP="006E429D">
      <w:pPr>
        <w:jc w:val="both"/>
        <w:rPr>
          <w:rFonts w:ascii="Verdana" w:hAnsi="Verdana"/>
          <w:sz w:val="22"/>
          <w:szCs w:val="22"/>
        </w:rPr>
      </w:pPr>
      <w:r w:rsidRPr="008D6AC4">
        <w:rPr>
          <w:rFonts w:ascii="Verdana" w:hAnsi="Verdana"/>
          <w:sz w:val="22"/>
          <w:szCs w:val="22"/>
        </w:rPr>
        <w:t>STI’s can be serious in</w:t>
      </w:r>
      <w:r w:rsidR="2987DBB1" w:rsidRPr="008D6AC4">
        <w:rPr>
          <w:rFonts w:ascii="Verdana" w:hAnsi="Verdana"/>
          <w:sz w:val="22"/>
          <w:szCs w:val="22"/>
        </w:rPr>
        <w:t>f</w:t>
      </w:r>
      <w:r w:rsidRPr="008D6AC4">
        <w:rPr>
          <w:rFonts w:ascii="Verdana" w:hAnsi="Verdana"/>
          <w:sz w:val="22"/>
          <w:szCs w:val="22"/>
        </w:rPr>
        <w:t>ections with long term impacts on health if left untreated, and therefore, the identification and treatment of infections in the community is important</w:t>
      </w:r>
      <w:r w:rsidR="006E429D" w:rsidRPr="008D6AC4">
        <w:rPr>
          <w:rStyle w:val="FootnoteReference"/>
          <w:rFonts w:ascii="Verdana" w:hAnsi="Verdana"/>
          <w:sz w:val="22"/>
          <w:szCs w:val="22"/>
        </w:rPr>
        <w:footnoteReference w:id="87"/>
      </w:r>
      <w:r w:rsidRPr="008D6AC4">
        <w:rPr>
          <w:rFonts w:ascii="Verdana" w:hAnsi="Verdana"/>
          <w:sz w:val="22"/>
          <w:szCs w:val="22"/>
        </w:rPr>
        <w:t xml:space="preserve">. </w:t>
      </w:r>
    </w:p>
    <w:p w14:paraId="6C01296A" w14:textId="77777777" w:rsidR="006E429D" w:rsidRDefault="5EA4D451" w:rsidP="4A0F6D8A">
      <w:pPr>
        <w:jc w:val="both"/>
        <w:rPr>
          <w:rFonts w:ascii="Verdana" w:hAnsi="Verdana"/>
          <w:sz w:val="22"/>
          <w:szCs w:val="22"/>
        </w:rPr>
      </w:pPr>
      <w:r w:rsidRPr="136F3BEB">
        <w:rPr>
          <w:rFonts w:ascii="Verdana" w:hAnsi="Verdana"/>
          <w:sz w:val="22"/>
          <w:szCs w:val="22"/>
        </w:rPr>
        <w:t>The STI testing rate in 2023 (excluding chlamydia tests in under 25s) is 4,110.7 per 100,000 in England and 3,136.6 per 100,000 in the Southeast. Since 2018 the rate has increased nationally, regionally and across Kent. Within Kent the STI testing rate is 3,284.3 per 100,000, which is a 3% increase from 3,178.7 in 2022. Following the COVID-19 pandemic, the rate has increased and is now higher than pre-pandemic levels, with there being a 15.5% increase since 2018 when the rate was 2,844.1 per 100,000</w:t>
      </w:r>
      <w:r w:rsidR="1668F953" w:rsidRPr="136F3BEB">
        <w:rPr>
          <w:rFonts w:ascii="Verdana" w:hAnsi="Verdana"/>
          <w:sz w:val="22"/>
          <w:szCs w:val="22"/>
        </w:rPr>
        <w:t xml:space="preserve"> (</w:t>
      </w:r>
      <w:r w:rsidR="1668F953" w:rsidRPr="136F3BEB">
        <w:rPr>
          <w:rFonts w:ascii="Verdana" w:hAnsi="Verdana"/>
          <w:b/>
          <w:bCs/>
          <w:sz w:val="22"/>
          <w:szCs w:val="22"/>
        </w:rPr>
        <w:t xml:space="preserve">Figure </w:t>
      </w:r>
      <w:r w:rsidR="34F6D491" w:rsidRPr="136F3BEB">
        <w:rPr>
          <w:rFonts w:ascii="Verdana" w:hAnsi="Verdana"/>
          <w:b/>
          <w:bCs/>
          <w:sz w:val="22"/>
          <w:szCs w:val="22"/>
        </w:rPr>
        <w:t>7</w:t>
      </w:r>
      <w:r w:rsidR="1668F953" w:rsidRPr="136F3BEB">
        <w:rPr>
          <w:rFonts w:ascii="Verdana" w:hAnsi="Verdana"/>
          <w:sz w:val="22"/>
          <w:szCs w:val="22"/>
        </w:rPr>
        <w:t>).</w:t>
      </w:r>
    </w:p>
    <w:p w14:paraId="10FBADE0" w14:textId="77777777" w:rsidR="009E4400" w:rsidRPr="008D6AC4" w:rsidRDefault="009E4400" w:rsidP="4A0F6D8A">
      <w:pPr>
        <w:jc w:val="both"/>
        <w:rPr>
          <w:rFonts w:ascii="Verdana" w:hAnsi="Verdana"/>
          <w:sz w:val="22"/>
          <w:szCs w:val="22"/>
        </w:rPr>
      </w:pPr>
    </w:p>
    <w:p w14:paraId="039EBEA6" w14:textId="0D428453" w:rsidR="006E429D" w:rsidRPr="008D6AC4" w:rsidRDefault="4903A77D" w:rsidP="4A0F6D8A">
      <w:pPr>
        <w:jc w:val="both"/>
        <w:rPr>
          <w:rFonts w:ascii="Verdana" w:hAnsi="Verdana"/>
          <w:sz w:val="22"/>
          <w:szCs w:val="22"/>
        </w:rPr>
      </w:pPr>
      <w:r w:rsidRPr="008D6AC4">
        <w:rPr>
          <w:rFonts w:ascii="Verdana" w:hAnsi="Verdana"/>
          <w:b/>
          <w:bCs/>
          <w:sz w:val="22"/>
          <w:szCs w:val="22"/>
        </w:rPr>
        <w:t xml:space="preserve">Figure </w:t>
      </w:r>
      <w:r w:rsidR="082A2953" w:rsidRPr="008D6AC4">
        <w:rPr>
          <w:rFonts w:ascii="Verdana" w:hAnsi="Verdana"/>
          <w:b/>
          <w:bCs/>
          <w:sz w:val="22"/>
          <w:szCs w:val="22"/>
        </w:rPr>
        <w:t>7</w:t>
      </w:r>
      <w:r w:rsidRPr="008D6AC4">
        <w:rPr>
          <w:rFonts w:ascii="Verdana" w:hAnsi="Verdana"/>
          <w:b/>
          <w:bCs/>
          <w:sz w:val="22"/>
          <w:szCs w:val="22"/>
        </w:rPr>
        <w:t xml:space="preserve">: </w:t>
      </w:r>
      <w:r w:rsidR="1CB50B0A" w:rsidRPr="008D6AC4">
        <w:rPr>
          <w:rFonts w:ascii="Verdana" w:hAnsi="Verdana"/>
          <w:b/>
          <w:bCs/>
          <w:sz w:val="22"/>
          <w:szCs w:val="22"/>
        </w:rPr>
        <w:t xml:space="preserve">Crude </w:t>
      </w:r>
      <w:r w:rsidRPr="008D6AC4">
        <w:rPr>
          <w:rFonts w:ascii="Verdana" w:hAnsi="Verdana"/>
          <w:b/>
          <w:bCs/>
          <w:sz w:val="22"/>
          <w:szCs w:val="22"/>
        </w:rPr>
        <w:t xml:space="preserve">STI testing rate (exclude chlamydia aged under 25) per 100,000, 2018 to 2023 </w:t>
      </w:r>
    </w:p>
    <w:p w14:paraId="7C049295" w14:textId="4BDB15AE" w:rsidR="006E429D" w:rsidRDefault="009E4400" w:rsidP="006E429D">
      <w:pPr>
        <w:spacing w:after="200"/>
        <w:jc w:val="both"/>
        <w:rPr>
          <w:rFonts w:ascii="Verdana" w:hAnsi="Verdana"/>
          <w:b/>
          <w:bCs/>
          <w:sz w:val="22"/>
          <w:szCs w:val="22"/>
        </w:rPr>
      </w:pPr>
      <w:bookmarkStart w:id="33" w:name="_Hlk159934734"/>
      <w:r w:rsidRPr="008D6AC4">
        <w:rPr>
          <w:rFonts w:ascii="Verdana" w:hAnsi="Verdana"/>
          <w:noProof/>
          <w:color w:val="2B579A"/>
          <w:sz w:val="22"/>
          <w:szCs w:val="22"/>
          <w:shd w:val="clear" w:color="auto" w:fill="E6E6E6"/>
        </w:rPr>
        <w:drawing>
          <wp:inline distT="0" distB="0" distL="0" distR="0" wp14:anchorId="2EDB9086" wp14:editId="2C2DBD56">
            <wp:extent cx="5734050" cy="3555365"/>
            <wp:effectExtent l="0" t="0" r="0" b="6985"/>
            <wp:docPr id="3" name="Picture 2" descr="A line graph showing the STI rate (excluding chlamydia under 25) per 100,000 in Kent, South East and England between 2018 and 2023. Rates have increased since 2020 but are not as high as pre-pandemic lev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ine graph showing the STI rate (excluding chlamydia under 25) per 100,000 in Kent, South East and England between 2018 and 2023. Rates have increased since 2020 but are not as high as pre-pandemic levels. "/>
                    <pic:cNvPicPr>
                      <a:picLocks noChangeAspect="1" noChangeArrowheads="1"/>
                    </pic:cNvPicPr>
                  </pic:nvPicPr>
                  <pic:blipFill rotWithShape="1">
                    <a:blip r:embed="rId24">
                      <a:extLst>
                        <a:ext uri="{28A0092B-C50C-407E-A947-70E740481C1C}">
                          <a14:useLocalDpi xmlns:a14="http://schemas.microsoft.com/office/drawing/2010/main" val="0"/>
                        </a:ext>
                      </a:extLst>
                    </a:blip>
                    <a:srcRect r="1477" b="1853"/>
                    <a:stretch/>
                  </pic:blipFill>
                  <pic:spPr bwMode="auto">
                    <a:xfrm>
                      <a:off x="0" y="0"/>
                      <a:ext cx="5734050" cy="3555365"/>
                    </a:xfrm>
                    <a:prstGeom prst="rect">
                      <a:avLst/>
                    </a:prstGeom>
                    <a:noFill/>
                    <a:ln>
                      <a:noFill/>
                    </a:ln>
                    <a:extLst>
                      <a:ext uri="{53640926-AAD7-44D8-BBD7-CCE9431645EC}">
                        <a14:shadowObscured xmlns:a14="http://schemas.microsoft.com/office/drawing/2010/main"/>
                      </a:ext>
                    </a:extLst>
                  </pic:spPr>
                </pic:pic>
              </a:graphicData>
            </a:graphic>
          </wp:inline>
        </w:drawing>
      </w:r>
    </w:p>
    <w:bookmarkEnd w:id="33"/>
    <w:p w14:paraId="56786BBE" w14:textId="77777777" w:rsidR="004123A9" w:rsidRPr="008D6AC4" w:rsidRDefault="5EA4D451" w:rsidP="004123A9">
      <w:pPr>
        <w:jc w:val="both"/>
        <w:rPr>
          <w:rFonts w:ascii="Verdana" w:hAnsi="Verdana"/>
          <w:b/>
          <w:bCs/>
          <w:sz w:val="22"/>
          <w:szCs w:val="22"/>
        </w:rPr>
      </w:pPr>
      <w:r w:rsidRPr="136F3BEB">
        <w:rPr>
          <w:rFonts w:ascii="Verdana" w:hAnsi="Verdana"/>
          <w:sz w:val="22"/>
          <w:szCs w:val="22"/>
        </w:rPr>
        <w:t>Within Kent (</w:t>
      </w:r>
      <w:r w:rsidRPr="136F3BEB">
        <w:rPr>
          <w:rFonts w:ascii="Verdana" w:hAnsi="Verdana"/>
          <w:b/>
          <w:bCs/>
          <w:sz w:val="22"/>
          <w:szCs w:val="22"/>
        </w:rPr>
        <w:t>Figure</w:t>
      </w:r>
      <w:r w:rsidR="61C64F62" w:rsidRPr="136F3BEB">
        <w:rPr>
          <w:rFonts w:ascii="Verdana" w:hAnsi="Verdana"/>
          <w:b/>
          <w:bCs/>
          <w:sz w:val="22"/>
          <w:szCs w:val="22"/>
        </w:rPr>
        <w:t>s:</w:t>
      </w:r>
      <w:r w:rsidRPr="136F3BEB">
        <w:rPr>
          <w:rFonts w:ascii="Verdana" w:hAnsi="Verdana"/>
          <w:b/>
          <w:bCs/>
          <w:sz w:val="22"/>
          <w:szCs w:val="22"/>
        </w:rPr>
        <w:t xml:space="preserve"> </w:t>
      </w:r>
      <w:r w:rsidR="000510F7" w:rsidRPr="136F3BEB">
        <w:rPr>
          <w:rFonts w:ascii="Verdana" w:hAnsi="Verdana"/>
          <w:b/>
          <w:bCs/>
          <w:sz w:val="22"/>
          <w:szCs w:val="22"/>
        </w:rPr>
        <w:t>8</w:t>
      </w:r>
      <w:r w:rsidR="61C64F62" w:rsidRPr="136F3BEB">
        <w:rPr>
          <w:rFonts w:ascii="Verdana" w:hAnsi="Verdana"/>
          <w:b/>
          <w:bCs/>
          <w:sz w:val="22"/>
          <w:szCs w:val="22"/>
        </w:rPr>
        <w:t>,</w:t>
      </w:r>
      <w:r w:rsidRPr="136F3BEB">
        <w:rPr>
          <w:rFonts w:ascii="Verdana" w:hAnsi="Verdana"/>
          <w:b/>
          <w:bCs/>
          <w:sz w:val="22"/>
          <w:szCs w:val="22"/>
        </w:rPr>
        <w:t xml:space="preserve"> </w:t>
      </w:r>
      <w:r w:rsidR="136415DD" w:rsidRPr="136F3BEB">
        <w:rPr>
          <w:rFonts w:ascii="Verdana" w:hAnsi="Verdana"/>
          <w:b/>
          <w:bCs/>
          <w:sz w:val="22"/>
          <w:szCs w:val="22"/>
        </w:rPr>
        <w:t>9</w:t>
      </w:r>
      <w:r w:rsidRPr="136F3BEB">
        <w:rPr>
          <w:rFonts w:ascii="Verdana" w:hAnsi="Verdana"/>
          <w:sz w:val="22"/>
          <w:szCs w:val="22"/>
        </w:rPr>
        <w:t xml:space="preserve">), Sevenoaks has the lowest testing rate of all the districts with a rate of 2,520.1 per 100,000 in 2023. Canterbury has the highest </w:t>
      </w:r>
      <w:r w:rsidRPr="136F3BEB">
        <w:rPr>
          <w:rFonts w:ascii="Verdana" w:hAnsi="Verdana"/>
          <w:sz w:val="22"/>
          <w:szCs w:val="22"/>
        </w:rPr>
        <w:lastRenderedPageBreak/>
        <w:t>rate of 4,397.3 in 2023, even higher than the national level. A high STI testing rate in Canterbury can be attributed to the large number of young people living in the area, due to the university. Approximately 26,400 people live in Canterbury between the ages of 15 to 24, it is the district with the great</w:t>
      </w:r>
      <w:r w:rsidR="1029E170" w:rsidRPr="136F3BEB">
        <w:rPr>
          <w:rFonts w:ascii="Verdana" w:hAnsi="Verdana"/>
          <w:sz w:val="22"/>
          <w:szCs w:val="22"/>
        </w:rPr>
        <w:t>est</w:t>
      </w:r>
      <w:r w:rsidRPr="136F3BEB">
        <w:rPr>
          <w:rFonts w:ascii="Verdana" w:hAnsi="Verdana"/>
          <w:sz w:val="22"/>
          <w:szCs w:val="22"/>
        </w:rPr>
        <w:t xml:space="preserve"> number of young people in Kent.</w:t>
      </w:r>
      <w:r w:rsidR="3844D970" w:rsidRPr="136F3BEB">
        <w:rPr>
          <w:rFonts w:ascii="Verdana" w:hAnsi="Verdana"/>
          <w:b/>
          <w:bCs/>
          <w:sz w:val="22"/>
          <w:szCs w:val="22"/>
        </w:rPr>
        <w:t xml:space="preserve"> </w:t>
      </w:r>
    </w:p>
    <w:p w14:paraId="64CA3D8D" w14:textId="02452E14" w:rsidR="004123A9" w:rsidRDefault="3844D970" w:rsidP="004123A9">
      <w:pPr>
        <w:jc w:val="both"/>
        <w:rPr>
          <w:rFonts w:ascii="Verdana" w:hAnsi="Verdana"/>
          <w:sz w:val="22"/>
          <w:szCs w:val="22"/>
        </w:rPr>
      </w:pPr>
      <w:r w:rsidRPr="008D6AC4">
        <w:rPr>
          <w:rFonts w:ascii="Verdana" w:hAnsi="Verdana"/>
          <w:b/>
          <w:bCs/>
          <w:sz w:val="22"/>
          <w:szCs w:val="22"/>
        </w:rPr>
        <w:t xml:space="preserve">Figure </w:t>
      </w:r>
      <w:r w:rsidR="0F6DEA74" w:rsidRPr="008D6AC4">
        <w:rPr>
          <w:rFonts w:ascii="Verdana" w:hAnsi="Verdana"/>
          <w:b/>
          <w:bCs/>
          <w:sz w:val="22"/>
          <w:szCs w:val="22"/>
        </w:rPr>
        <w:t>8</w:t>
      </w:r>
      <w:r w:rsidRPr="008D6AC4">
        <w:rPr>
          <w:rFonts w:ascii="Verdana" w:hAnsi="Verdana"/>
          <w:b/>
          <w:bCs/>
          <w:sz w:val="22"/>
          <w:szCs w:val="22"/>
        </w:rPr>
        <w:t xml:space="preserve">: </w:t>
      </w:r>
      <w:r w:rsidR="1029E170" w:rsidRPr="008D6AC4">
        <w:rPr>
          <w:rFonts w:ascii="Verdana" w:hAnsi="Verdana"/>
          <w:b/>
          <w:bCs/>
          <w:sz w:val="22"/>
          <w:szCs w:val="22"/>
        </w:rPr>
        <w:t xml:space="preserve">Crude </w:t>
      </w:r>
      <w:r w:rsidRPr="008D6AC4">
        <w:rPr>
          <w:rFonts w:ascii="Verdana" w:hAnsi="Verdana"/>
          <w:b/>
          <w:bCs/>
          <w:sz w:val="22"/>
          <w:szCs w:val="22"/>
        </w:rPr>
        <w:t>STI testing rate (excluding chlamydia aged under 25) per 100,000, by Kent district for 2022 to 2023</w:t>
      </w:r>
      <w:r w:rsidRPr="008D6AC4">
        <w:rPr>
          <w:rFonts w:ascii="Verdana" w:hAnsi="Verdana"/>
          <w:sz w:val="22"/>
          <w:szCs w:val="22"/>
        </w:rPr>
        <w:t xml:space="preserve"> </w:t>
      </w:r>
    </w:p>
    <w:p w14:paraId="7378BCB6" w14:textId="6669C4F9" w:rsidR="009E4400" w:rsidRPr="008D6AC4" w:rsidRDefault="009E4400" w:rsidP="004123A9">
      <w:pPr>
        <w:jc w:val="both"/>
        <w:rPr>
          <w:rFonts w:ascii="Verdana" w:hAnsi="Verdana"/>
          <w:sz w:val="22"/>
          <w:szCs w:val="22"/>
        </w:rPr>
      </w:pPr>
      <w:r w:rsidRPr="008D6AC4">
        <w:rPr>
          <w:rFonts w:ascii="Verdana" w:hAnsi="Verdana"/>
          <w:noProof/>
          <w:color w:val="2B579A"/>
          <w:shd w:val="clear" w:color="auto" w:fill="E6E6E6"/>
        </w:rPr>
        <w:drawing>
          <wp:inline distT="0" distB="0" distL="0" distR="0" wp14:anchorId="02B66D83" wp14:editId="5AB5D2E0">
            <wp:extent cx="5724525" cy="2864485"/>
            <wp:effectExtent l="0" t="0" r="9525" b="0"/>
            <wp:docPr id="1452161345" name="Picture 2" descr="A dumbbell chart showing the change in the STI rate per 100,000 (excluding chlamydia under 25) between 2022 and 2023. There is little change in the rate across the districts with Folkestone and Hythe and Ashford having the greatest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161345" name="Picture 2" descr="A dumbbell chart showing the change in the STI rate per 100,000 (excluding chlamydia under 25) between 2022 and 2023. There is little change in the rate across the districts with Folkestone and Hythe and Ashford having the greatest change. "/>
                    <pic:cNvPicPr/>
                  </pic:nvPicPr>
                  <pic:blipFill>
                    <a:blip r:embed="rId25">
                      <a:extLst>
                        <a:ext uri="{28A0092B-C50C-407E-A947-70E740481C1C}">
                          <a14:useLocalDpi xmlns:a14="http://schemas.microsoft.com/office/drawing/2010/main" val="0"/>
                        </a:ext>
                      </a:extLst>
                    </a:blip>
                    <a:stretch>
                      <a:fillRect/>
                    </a:stretch>
                  </pic:blipFill>
                  <pic:spPr>
                    <a:xfrm>
                      <a:off x="0" y="0"/>
                      <a:ext cx="5724525" cy="2864485"/>
                    </a:xfrm>
                    <a:prstGeom prst="rect">
                      <a:avLst/>
                    </a:prstGeom>
                  </pic:spPr>
                </pic:pic>
              </a:graphicData>
            </a:graphic>
          </wp:inline>
        </w:drawing>
      </w:r>
    </w:p>
    <w:p w14:paraId="3DA828C8" w14:textId="1BA17EC3" w:rsidR="004123A9" w:rsidRDefault="3A4ADEEE" w:rsidP="4A0F6D8A">
      <w:pPr>
        <w:jc w:val="both"/>
        <w:rPr>
          <w:rFonts w:ascii="Verdana" w:hAnsi="Verdana"/>
          <w:b/>
          <w:bCs/>
          <w:sz w:val="22"/>
          <w:szCs w:val="22"/>
        </w:rPr>
      </w:pPr>
      <w:r w:rsidRPr="008D6AC4">
        <w:rPr>
          <w:rFonts w:ascii="Verdana" w:hAnsi="Verdana"/>
          <w:b/>
          <w:bCs/>
          <w:sz w:val="22"/>
          <w:szCs w:val="22"/>
        </w:rPr>
        <w:t xml:space="preserve">Figure </w:t>
      </w:r>
      <w:r w:rsidR="52D9DA82" w:rsidRPr="008D6AC4">
        <w:rPr>
          <w:rFonts w:ascii="Verdana" w:hAnsi="Verdana"/>
          <w:b/>
          <w:bCs/>
          <w:sz w:val="22"/>
          <w:szCs w:val="22"/>
        </w:rPr>
        <w:t>9</w:t>
      </w:r>
      <w:r w:rsidRPr="008D6AC4">
        <w:rPr>
          <w:rFonts w:ascii="Verdana" w:hAnsi="Verdana"/>
          <w:b/>
          <w:bCs/>
          <w:sz w:val="22"/>
          <w:szCs w:val="22"/>
        </w:rPr>
        <w:t xml:space="preserve">: </w:t>
      </w:r>
      <w:r w:rsidR="1029E170" w:rsidRPr="008D6AC4">
        <w:rPr>
          <w:rFonts w:ascii="Verdana" w:hAnsi="Verdana"/>
          <w:b/>
          <w:bCs/>
          <w:sz w:val="22"/>
          <w:szCs w:val="22"/>
        </w:rPr>
        <w:t xml:space="preserve">Crude </w:t>
      </w:r>
      <w:r w:rsidRPr="008D6AC4">
        <w:rPr>
          <w:rFonts w:ascii="Verdana" w:hAnsi="Verdana"/>
          <w:b/>
          <w:bCs/>
          <w:sz w:val="22"/>
          <w:szCs w:val="22"/>
        </w:rPr>
        <w:t>STI testing rate (excluding chlamydia aged under 25) per 100,000, by Kent district for 2021 to 2022</w:t>
      </w:r>
    </w:p>
    <w:p w14:paraId="1F8406BB" w14:textId="4A10F296" w:rsidR="009E4400" w:rsidRDefault="009E4400" w:rsidP="4A0F6D8A">
      <w:pPr>
        <w:jc w:val="both"/>
        <w:rPr>
          <w:rFonts w:ascii="Verdana" w:hAnsi="Verdana"/>
          <w:b/>
          <w:bCs/>
          <w:sz w:val="22"/>
          <w:szCs w:val="22"/>
        </w:rPr>
      </w:pPr>
      <w:r w:rsidRPr="008D6AC4">
        <w:rPr>
          <w:rFonts w:ascii="Verdana" w:hAnsi="Verdana"/>
          <w:noProof/>
          <w:color w:val="2B579A"/>
          <w:sz w:val="22"/>
          <w:szCs w:val="22"/>
          <w:shd w:val="clear" w:color="auto" w:fill="E6E6E6"/>
        </w:rPr>
        <w:drawing>
          <wp:inline distT="0" distB="0" distL="0" distR="0" wp14:anchorId="07374B5F" wp14:editId="5D9B9EFC">
            <wp:extent cx="5762625" cy="2880995"/>
            <wp:effectExtent l="0" t="0" r="9525" b="0"/>
            <wp:docPr id="259482576" name="Picture 1" descr="A dumbbell chart showing the change in the STI rate per 100,000 (excluding chlamydia under 25) by Kent district. Maidstone, Gravesham and Dartford had the greatest change between 2021 to 2022. Canterbury had the greatest STI 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82576" name="Picture 1" descr="A dumbbell chart showing the change in the STI rate per 100,000 (excluding chlamydia under 25) by Kent district. Maidstone, Gravesham and Dartford had the greatest change between 2021 to 2022. Canterbury had the greatest STI rate.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2880995"/>
                    </a:xfrm>
                    <a:prstGeom prst="rect">
                      <a:avLst/>
                    </a:prstGeom>
                    <a:noFill/>
                  </pic:spPr>
                </pic:pic>
              </a:graphicData>
            </a:graphic>
          </wp:inline>
        </w:drawing>
      </w:r>
    </w:p>
    <w:p w14:paraId="715AF90A" w14:textId="77777777" w:rsidR="009E4400" w:rsidRPr="008D6AC4" w:rsidRDefault="009E4400" w:rsidP="4A0F6D8A">
      <w:pPr>
        <w:jc w:val="both"/>
        <w:rPr>
          <w:rFonts w:ascii="Verdana" w:hAnsi="Verdana"/>
          <w:b/>
          <w:bCs/>
          <w:sz w:val="22"/>
          <w:szCs w:val="22"/>
        </w:rPr>
      </w:pPr>
    </w:p>
    <w:p w14:paraId="77316355" w14:textId="77777777" w:rsidR="004123A9" w:rsidRPr="008D6AC4" w:rsidRDefault="004123A9" w:rsidP="004123A9">
      <w:pPr>
        <w:jc w:val="both"/>
        <w:rPr>
          <w:rFonts w:ascii="Verdana" w:hAnsi="Verdana"/>
          <w:sz w:val="22"/>
          <w:szCs w:val="22"/>
        </w:rPr>
      </w:pPr>
      <w:r w:rsidRPr="008D6AC4">
        <w:rPr>
          <w:rFonts w:ascii="Verdana" w:hAnsi="Verdana"/>
          <w:sz w:val="22"/>
          <w:szCs w:val="22"/>
        </w:rPr>
        <w:t xml:space="preserve">The STI testing rate has been lowest amongst the districts of Swale, Tonbridge and Malling, Tunbridge Wells and Sevenoaks. There is no sexual health clinic in </w:t>
      </w:r>
      <w:r w:rsidRPr="008D6AC4">
        <w:rPr>
          <w:rFonts w:ascii="Verdana" w:hAnsi="Verdana"/>
          <w:sz w:val="22"/>
          <w:szCs w:val="22"/>
        </w:rPr>
        <w:lastRenderedPageBreak/>
        <w:t>Tonbridge and Malling, however it is unclear why these districts persistently have low testing rates.</w:t>
      </w:r>
    </w:p>
    <w:p w14:paraId="3CBCBC8C" w14:textId="77777777" w:rsidR="004123A9" w:rsidRPr="008D6AC4" w:rsidRDefault="004123A9" w:rsidP="004123A9">
      <w:pPr>
        <w:jc w:val="both"/>
        <w:rPr>
          <w:rFonts w:ascii="Verdana" w:hAnsi="Verdana"/>
          <w:sz w:val="22"/>
          <w:szCs w:val="22"/>
        </w:rPr>
      </w:pPr>
      <w:r w:rsidRPr="008D6AC4">
        <w:rPr>
          <w:rFonts w:ascii="Verdana" w:hAnsi="Verdana"/>
          <w:sz w:val="22"/>
          <w:szCs w:val="22"/>
        </w:rPr>
        <w:t>The crude rate of new STI diagnoses amongst people accessing sexual health services (excluding chlamydia in under 25s), is 345 diagnoses per 100,000 of the Kent population in 2023, this was only a slight increase of 2% compared to 2022 (340 per 100,000). The rate in Kent is lower when compared to England (520 per 100,000) and the South East (369 per 100,000) in 2023 and has persistently been lower than the England rate for over 10 years. The rate of new STI diagnoses has increased following the drop during the pandemic</w:t>
      </w:r>
      <w:r w:rsidR="742DBE8B" w:rsidRPr="008D6AC4">
        <w:rPr>
          <w:rFonts w:ascii="Verdana" w:hAnsi="Verdana"/>
          <w:sz w:val="22"/>
          <w:szCs w:val="22"/>
        </w:rPr>
        <w:t xml:space="preserve"> and has returned to pre-pandemic levels</w:t>
      </w:r>
      <w:r w:rsidR="5CCC69E2" w:rsidRPr="008D6AC4">
        <w:rPr>
          <w:rFonts w:ascii="Verdana" w:hAnsi="Verdana"/>
          <w:sz w:val="22"/>
          <w:szCs w:val="22"/>
        </w:rPr>
        <w:t>.</w:t>
      </w:r>
      <w:r w:rsidRPr="008D6AC4">
        <w:rPr>
          <w:rFonts w:ascii="Verdana" w:hAnsi="Verdana"/>
          <w:sz w:val="22"/>
          <w:szCs w:val="22"/>
        </w:rPr>
        <w:t xml:space="preserve"> In total there were 7,589 new STI diagnoses in Kent in 2023. </w:t>
      </w:r>
    </w:p>
    <w:p w14:paraId="2F9A2CB0" w14:textId="77777777" w:rsidR="004123A9" w:rsidRPr="008D6AC4" w:rsidRDefault="004123A9" w:rsidP="004123A9">
      <w:pPr>
        <w:spacing w:after="200"/>
        <w:jc w:val="both"/>
        <w:rPr>
          <w:rFonts w:ascii="Verdana" w:hAnsi="Verdana"/>
          <w:sz w:val="22"/>
          <w:szCs w:val="22"/>
        </w:rPr>
      </w:pPr>
      <w:r w:rsidRPr="008D6AC4">
        <w:rPr>
          <w:rFonts w:ascii="Verdana" w:hAnsi="Verdana"/>
          <w:sz w:val="22"/>
          <w:szCs w:val="22"/>
        </w:rPr>
        <w:t>Within Kent in 2023, Dartford has the highest diagnosis rate of 465 per 100,000, this surpasses the rate in Canterbury which is 459. These diagnoses rates correspond with a high testing rate in both Dartford (4,078.4 per 100,000) and Canterbury (4,397.3 per 100,000), with both areas surpassing the regional figure (3,136.6 per 100,000) and Canterbury surpassing the national figure (4,110.7 per 100,000). Sevenoaks and Tunbridge Wells have the lowest diagnosis rates, both with 224 per 100,000, again corresponding with a low testing rate, however the testing rates are increasing across both areas.</w:t>
      </w:r>
    </w:p>
    <w:p w14:paraId="48B13002" w14:textId="77777777" w:rsidR="006E429D" w:rsidRPr="00AF7733" w:rsidRDefault="1A82E475" w:rsidP="4A0F6D8A">
      <w:pPr>
        <w:spacing w:after="200"/>
        <w:jc w:val="both"/>
        <w:rPr>
          <w:rFonts w:ascii="Verdana" w:hAnsi="Verdana"/>
          <w:sz w:val="22"/>
          <w:szCs w:val="22"/>
        </w:rPr>
      </w:pPr>
      <w:r w:rsidRPr="008D6AC4">
        <w:rPr>
          <w:rFonts w:ascii="Verdana" w:hAnsi="Verdana"/>
          <w:sz w:val="22"/>
          <w:szCs w:val="22"/>
        </w:rPr>
        <w:t xml:space="preserve">STI test positivity considers testing and diagnosis rates, it is the number of STI diagnoses expressed as a percentage of people tested for STIs. The proportion is highest in Dartford at 6.1%, (higher than the proportion of Kent 5.1%). Further understanding of the high diagnosis rates in Dartford is needed. The proportion </w:t>
      </w:r>
      <w:r w:rsidRPr="00AF7733">
        <w:rPr>
          <w:rFonts w:ascii="Verdana" w:hAnsi="Verdana"/>
          <w:sz w:val="22"/>
          <w:szCs w:val="22"/>
        </w:rPr>
        <w:t>is lowest in Tunbridge Wells at 3.6%.</w:t>
      </w:r>
    </w:p>
    <w:p w14:paraId="508B8EEC" w14:textId="77777777" w:rsidR="00A05D3D" w:rsidRPr="00AF7733" w:rsidRDefault="20638BAF" w:rsidP="49636075">
      <w:pPr>
        <w:pStyle w:val="Heading2"/>
        <w:numPr>
          <w:ilvl w:val="0"/>
          <w:numId w:val="0"/>
        </w:numPr>
        <w:rPr>
          <w:rFonts w:ascii="Verdana" w:eastAsia="Verdana" w:hAnsi="Verdana" w:cs="Verdana"/>
          <w:sz w:val="22"/>
          <w:szCs w:val="22"/>
        </w:rPr>
      </w:pPr>
      <w:bookmarkStart w:id="34" w:name="_Toc1214913810"/>
      <w:r w:rsidRPr="136F3BEB">
        <w:rPr>
          <w:rFonts w:ascii="Verdana" w:hAnsi="Verdana"/>
          <w:sz w:val="22"/>
          <w:szCs w:val="22"/>
        </w:rPr>
        <w:t xml:space="preserve">4.1.1 </w:t>
      </w:r>
      <w:r w:rsidR="21D35426" w:rsidRPr="136F3BEB">
        <w:rPr>
          <w:rFonts w:ascii="Verdana" w:eastAsia="Verdana" w:hAnsi="Verdana" w:cs="Verdana"/>
          <w:sz w:val="22"/>
          <w:szCs w:val="22"/>
        </w:rPr>
        <w:t>Chlamydia</w:t>
      </w:r>
      <w:bookmarkEnd w:id="34"/>
    </w:p>
    <w:p w14:paraId="14F6D78B" w14:textId="77777777" w:rsidR="00AB0EFD" w:rsidRPr="008D6AC4" w:rsidRDefault="24C7EAD8" w:rsidP="00AB0EFD">
      <w:pPr>
        <w:jc w:val="both"/>
        <w:rPr>
          <w:rFonts w:ascii="Verdana" w:hAnsi="Verdana"/>
          <w:sz w:val="22"/>
          <w:szCs w:val="22"/>
        </w:rPr>
      </w:pPr>
      <w:r w:rsidRPr="008D6AC4">
        <w:rPr>
          <w:rFonts w:ascii="Verdana" w:hAnsi="Verdana"/>
          <w:sz w:val="22"/>
          <w:szCs w:val="22"/>
        </w:rPr>
        <w:t xml:space="preserve">The National Chlamydia Screening Programmes (NCSP) focuses on reducing the harm of untreated chlamydia infection in young women and other people with a womb or ovaries, aged 15 to 24. This is because the harmful effects of untreated chlamydia infection disproportionately affect women. The proportion of females screened for chlamydia in Kent in 2023 is 18.1%. This is lower than the England proportion of 20.4% and 18.2% in the South East. </w:t>
      </w:r>
    </w:p>
    <w:p w14:paraId="5CB7A0DF" w14:textId="77777777" w:rsidR="00AB0EFD" w:rsidRPr="0089791B" w:rsidRDefault="21DFC28B" w:rsidP="00AB0EFD">
      <w:pPr>
        <w:spacing w:after="200"/>
        <w:jc w:val="both"/>
        <w:rPr>
          <w:rFonts w:ascii="Verdana" w:hAnsi="Verdana"/>
          <w:sz w:val="22"/>
          <w:szCs w:val="22"/>
        </w:rPr>
      </w:pPr>
      <w:r w:rsidRPr="136F3BEB">
        <w:rPr>
          <w:rFonts w:ascii="Verdana" w:hAnsi="Verdana"/>
          <w:sz w:val="22"/>
          <w:szCs w:val="22"/>
        </w:rPr>
        <w:t xml:space="preserve">The chlamydia detection rate per 100,000 for females aged 15 to 24 is 1,712. Whilst this is an increase from 1,658 per 100,000 in 2022 it is 20.4% lower than the rate in 2021 (2,152 per 100,000) and 47.3% lower than the target level of 3,250, this suggests that more testing is needed across Kent. Kent has a higher detection rate than the South East (1,670 per 100,000 in 2023 and 1,549 per 100,000 in 2022) but lower than England (1,962 per 100,000 in 2023 and 2,047 per 100,000 in 2022) as shown in </w:t>
      </w:r>
      <w:r w:rsidRPr="136F3BEB">
        <w:rPr>
          <w:rFonts w:ascii="Verdana" w:hAnsi="Verdana"/>
          <w:b/>
          <w:bCs/>
          <w:sz w:val="22"/>
          <w:szCs w:val="22"/>
        </w:rPr>
        <w:t xml:space="preserve">Figure </w:t>
      </w:r>
      <w:r w:rsidR="6D4F1BBB" w:rsidRPr="136F3BEB">
        <w:rPr>
          <w:rFonts w:ascii="Verdana" w:hAnsi="Verdana"/>
          <w:b/>
          <w:bCs/>
          <w:sz w:val="22"/>
          <w:szCs w:val="22"/>
        </w:rPr>
        <w:t>10</w:t>
      </w:r>
      <w:r w:rsidRPr="136F3BEB">
        <w:rPr>
          <w:rFonts w:ascii="Verdana" w:hAnsi="Verdana"/>
          <w:sz w:val="22"/>
          <w:szCs w:val="22"/>
        </w:rPr>
        <w:t xml:space="preserve">. The chlamydia detection rate per 100,000 for all persons was lower than for females, suggesting lower testing in males. This can be expected as the NCSP primarily focuses on women but would suggest targeted testing is needed for other groups within Kent. Whilst the chlamydia detection rate for Kent has decreased, rates in Maidstone have </w:t>
      </w:r>
      <w:r w:rsidRPr="136F3BEB">
        <w:rPr>
          <w:rFonts w:ascii="Verdana" w:hAnsi="Verdana"/>
          <w:sz w:val="22"/>
          <w:szCs w:val="22"/>
        </w:rPr>
        <w:lastRenderedPageBreak/>
        <w:t>increased, surpassing the national level and exceeding the target rate. The rate for females aged 15 to 24 in Maidstone is 3,612 per 100,000, a 42.7% increase from 2,530 in 2022. This may be due to an increase in numbers of chlamydia tests performed in Maidstone, but more understanding of this rise is needed.</w:t>
      </w:r>
    </w:p>
    <w:p w14:paraId="4FAF1996" w14:textId="77777777" w:rsidR="009E4400" w:rsidRDefault="21DFC28B" w:rsidP="00AB0EFD">
      <w:pPr>
        <w:spacing w:after="200"/>
        <w:rPr>
          <w:rFonts w:ascii="Verdana" w:hAnsi="Verdana"/>
          <w:b/>
          <w:bCs/>
          <w:sz w:val="22"/>
          <w:szCs w:val="22"/>
        </w:rPr>
      </w:pPr>
      <w:r w:rsidRPr="0089791B">
        <w:rPr>
          <w:rFonts w:ascii="Verdana" w:hAnsi="Verdana"/>
          <w:b/>
          <w:bCs/>
          <w:sz w:val="22"/>
          <w:szCs w:val="22"/>
        </w:rPr>
        <w:t xml:space="preserve">Figure </w:t>
      </w:r>
      <w:r w:rsidR="48C9CBBD" w:rsidRPr="0089791B">
        <w:rPr>
          <w:rFonts w:ascii="Verdana" w:hAnsi="Verdana"/>
          <w:b/>
          <w:bCs/>
          <w:sz w:val="22"/>
          <w:szCs w:val="22"/>
        </w:rPr>
        <w:t>10</w:t>
      </w:r>
      <w:r w:rsidRPr="0089791B">
        <w:rPr>
          <w:rFonts w:ascii="Verdana" w:hAnsi="Verdana"/>
          <w:b/>
          <w:bCs/>
          <w:sz w:val="22"/>
          <w:szCs w:val="22"/>
        </w:rPr>
        <w:t xml:space="preserve">: </w:t>
      </w:r>
      <w:r w:rsidR="2E186EF4" w:rsidRPr="0089791B">
        <w:rPr>
          <w:rFonts w:ascii="Verdana" w:hAnsi="Verdana"/>
          <w:b/>
          <w:bCs/>
          <w:sz w:val="22"/>
          <w:szCs w:val="22"/>
        </w:rPr>
        <w:t xml:space="preserve">Crude </w:t>
      </w:r>
      <w:r w:rsidRPr="0089791B">
        <w:rPr>
          <w:rFonts w:ascii="Verdana" w:hAnsi="Verdana"/>
          <w:b/>
          <w:bCs/>
          <w:sz w:val="22"/>
          <w:szCs w:val="22"/>
        </w:rPr>
        <w:t>Chlamydia detection rate amongst 15</w:t>
      </w:r>
      <w:r w:rsidR="0815257C" w:rsidRPr="0089791B">
        <w:rPr>
          <w:rFonts w:ascii="Verdana" w:hAnsi="Verdana"/>
          <w:b/>
          <w:bCs/>
          <w:sz w:val="22"/>
          <w:szCs w:val="22"/>
        </w:rPr>
        <w:t>-</w:t>
      </w:r>
      <w:r w:rsidRPr="0089791B">
        <w:rPr>
          <w:rFonts w:ascii="Verdana" w:hAnsi="Verdana"/>
          <w:b/>
          <w:bCs/>
          <w:sz w:val="22"/>
          <w:szCs w:val="22"/>
        </w:rPr>
        <w:t xml:space="preserve"> to 24</w:t>
      </w:r>
      <w:r w:rsidR="0815257C" w:rsidRPr="0089791B">
        <w:rPr>
          <w:rFonts w:ascii="Verdana" w:hAnsi="Verdana"/>
          <w:b/>
          <w:bCs/>
          <w:sz w:val="22"/>
          <w:szCs w:val="22"/>
        </w:rPr>
        <w:t>-</w:t>
      </w:r>
      <w:r w:rsidRPr="0089791B">
        <w:rPr>
          <w:rFonts w:ascii="Verdana" w:hAnsi="Verdana"/>
          <w:b/>
          <w:bCs/>
          <w:sz w:val="22"/>
          <w:szCs w:val="22"/>
        </w:rPr>
        <w:t>year</w:t>
      </w:r>
      <w:r w:rsidR="0815257C" w:rsidRPr="0089791B">
        <w:rPr>
          <w:rFonts w:ascii="Verdana" w:hAnsi="Verdana"/>
          <w:b/>
          <w:bCs/>
          <w:sz w:val="22"/>
          <w:szCs w:val="22"/>
        </w:rPr>
        <w:t>-</w:t>
      </w:r>
      <w:r w:rsidRPr="0089791B">
        <w:rPr>
          <w:rFonts w:ascii="Verdana" w:hAnsi="Verdana"/>
          <w:b/>
          <w:bCs/>
          <w:sz w:val="22"/>
          <w:szCs w:val="22"/>
        </w:rPr>
        <w:t>olds, 2018 to 2023</w:t>
      </w:r>
    </w:p>
    <w:p w14:paraId="0BA37FC1" w14:textId="0B758103" w:rsidR="00AB0EFD" w:rsidRPr="0089791B" w:rsidRDefault="009E4400" w:rsidP="00AB0EFD">
      <w:pPr>
        <w:spacing w:after="200"/>
        <w:rPr>
          <w:rFonts w:ascii="Verdana" w:hAnsi="Verdana"/>
          <w:b/>
          <w:bCs/>
          <w:sz w:val="22"/>
          <w:szCs w:val="22"/>
        </w:rPr>
      </w:pPr>
      <w:r w:rsidRPr="0089791B">
        <w:rPr>
          <w:rFonts w:ascii="Verdana" w:hAnsi="Verdana"/>
          <w:noProof/>
          <w:color w:val="2B579A"/>
          <w:sz w:val="22"/>
          <w:szCs w:val="22"/>
          <w:shd w:val="clear" w:color="auto" w:fill="E6E6E6"/>
        </w:rPr>
        <w:drawing>
          <wp:inline distT="0" distB="0" distL="0" distR="0" wp14:anchorId="35E30AAF" wp14:editId="2E7BD6BC">
            <wp:extent cx="5648325" cy="2734945"/>
            <wp:effectExtent l="0" t="0" r="9525" b="8255"/>
            <wp:docPr id="1594028620" name="Picture 5" descr="3 line graphs showing the chlamydia detection rate amongst 15 to 24 year olds between 2018 and 2023 for females, males and persons. &#10;Females have a higher detection rate than males and the detection rate has declined since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28620" name="Picture 5" descr="3 line graphs showing the chlamydia detection rate amongst 15 to 24 year olds between 2018 and 2023 for females, males and persons. &#10;Females have a higher detection rate than males and the detection rate has declined since 2018. "/>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925"/>
                    <a:stretch/>
                  </pic:blipFill>
                  <pic:spPr bwMode="auto">
                    <a:xfrm>
                      <a:off x="0" y="0"/>
                      <a:ext cx="5648325" cy="2734945"/>
                    </a:xfrm>
                    <a:prstGeom prst="rect">
                      <a:avLst/>
                    </a:prstGeom>
                    <a:noFill/>
                    <a:ln>
                      <a:noFill/>
                    </a:ln>
                    <a:extLst>
                      <a:ext uri="{53640926-AAD7-44D8-BBD7-CCE9431645EC}">
                        <a14:shadowObscured xmlns:a14="http://schemas.microsoft.com/office/drawing/2010/main"/>
                      </a:ext>
                    </a:extLst>
                  </pic:spPr>
                </pic:pic>
              </a:graphicData>
            </a:graphic>
          </wp:inline>
        </w:drawing>
      </w:r>
      <w:r w:rsidR="0080581C" w:rsidRPr="0089791B">
        <w:rPr>
          <w:rFonts w:ascii="Verdana" w:hAnsi="Verdana"/>
          <w:sz w:val="22"/>
          <w:szCs w:val="22"/>
        </w:rPr>
        <w:br/>
      </w:r>
    </w:p>
    <w:p w14:paraId="1A68C271" w14:textId="77777777" w:rsidR="004123A9" w:rsidRPr="00AF7733" w:rsidRDefault="14BD8AAB" w:rsidP="49636075">
      <w:pPr>
        <w:pStyle w:val="Heading2"/>
        <w:numPr>
          <w:ilvl w:val="0"/>
          <w:numId w:val="0"/>
        </w:numPr>
        <w:rPr>
          <w:rFonts w:ascii="Verdana" w:eastAsia="Verdana" w:hAnsi="Verdana" w:cs="Verdana"/>
          <w:sz w:val="22"/>
          <w:szCs w:val="22"/>
        </w:rPr>
      </w:pPr>
      <w:bookmarkStart w:id="35" w:name="_Toc793693297"/>
      <w:r w:rsidRPr="136F3BEB">
        <w:rPr>
          <w:rFonts w:ascii="Verdana" w:hAnsi="Verdana"/>
          <w:sz w:val="22"/>
          <w:szCs w:val="22"/>
        </w:rPr>
        <w:t xml:space="preserve">4.1.2 </w:t>
      </w:r>
      <w:r w:rsidR="2542023A" w:rsidRPr="136F3BEB">
        <w:rPr>
          <w:rFonts w:ascii="Verdana" w:eastAsia="Verdana" w:hAnsi="Verdana" w:cs="Verdana"/>
          <w:sz w:val="22"/>
          <w:szCs w:val="22"/>
        </w:rPr>
        <w:t>Gonorrhoea</w:t>
      </w:r>
      <w:bookmarkEnd w:id="35"/>
    </w:p>
    <w:p w14:paraId="3FF82CC9" w14:textId="77777777" w:rsidR="004123A9" w:rsidRPr="00AF7733" w:rsidRDefault="3844D970" w:rsidP="004123A9">
      <w:pPr>
        <w:jc w:val="both"/>
        <w:rPr>
          <w:rFonts w:ascii="Verdana" w:hAnsi="Verdana"/>
          <w:sz w:val="22"/>
          <w:szCs w:val="22"/>
        </w:rPr>
      </w:pPr>
      <w:r w:rsidRPr="136F3BEB">
        <w:rPr>
          <w:rFonts w:ascii="Verdana" w:hAnsi="Verdana"/>
          <w:sz w:val="22"/>
          <w:szCs w:val="22"/>
        </w:rPr>
        <w:t xml:space="preserve">Detecting and treating gonorrhoea is important to reduce the long-term consequences of untreated infection, such as infertility and pelvic inflammatory disease. Gonorrhoea is the second most diagnosed STI after chlamydia. In Kent, the diagnosis rate is 78 per 100,000 in 2023 and whilst this is a slight decline from the rate in 2022 (82 per 100,000) it is a 53% increase since 2018 (rate of 51 per 100,000). This reflects the national trend seen post-pandemic whereby gonorrhoea rates are increasing following a decrease between 2020 and 2021 and may be a result of increasing STI testing rates. The diagnosis rate is lower than the South East (83 per 100,000) and England (149, per 100,000) as shown in </w:t>
      </w:r>
      <w:r w:rsidRPr="136F3BEB">
        <w:rPr>
          <w:rFonts w:ascii="Verdana" w:hAnsi="Verdana"/>
          <w:b/>
          <w:bCs/>
          <w:sz w:val="22"/>
          <w:szCs w:val="22"/>
        </w:rPr>
        <w:t xml:space="preserve">Figure </w:t>
      </w:r>
      <w:r w:rsidR="712876BB" w:rsidRPr="136F3BEB">
        <w:rPr>
          <w:rFonts w:ascii="Verdana" w:hAnsi="Verdana"/>
          <w:b/>
          <w:bCs/>
          <w:sz w:val="22"/>
          <w:szCs w:val="22"/>
        </w:rPr>
        <w:t>1</w:t>
      </w:r>
      <w:r w:rsidR="1D10B0D1" w:rsidRPr="136F3BEB">
        <w:rPr>
          <w:rFonts w:ascii="Verdana" w:hAnsi="Verdana"/>
          <w:b/>
          <w:bCs/>
          <w:sz w:val="22"/>
          <w:szCs w:val="22"/>
        </w:rPr>
        <w:t>1</w:t>
      </w:r>
      <w:r w:rsidRPr="136F3BEB">
        <w:rPr>
          <w:rFonts w:ascii="Verdana" w:hAnsi="Verdana"/>
          <w:sz w:val="22"/>
          <w:szCs w:val="22"/>
        </w:rPr>
        <w:t xml:space="preserve">. </w:t>
      </w:r>
    </w:p>
    <w:p w14:paraId="2EDAFCA7" w14:textId="77777777" w:rsidR="004123A9" w:rsidRPr="00AF7733" w:rsidRDefault="004123A9" w:rsidP="004123A9">
      <w:pPr>
        <w:jc w:val="both"/>
        <w:rPr>
          <w:rFonts w:ascii="Verdana" w:hAnsi="Verdana"/>
          <w:sz w:val="22"/>
          <w:szCs w:val="22"/>
        </w:rPr>
      </w:pPr>
      <w:r w:rsidRPr="00AF7733">
        <w:rPr>
          <w:rFonts w:ascii="Verdana" w:hAnsi="Verdana"/>
          <w:sz w:val="22"/>
          <w:szCs w:val="22"/>
        </w:rPr>
        <w:t>Within Kent, Canterbury has the highest diagnosis of Gonorrhoea with a rate of 133 per 100,000. This is 156% higher than 2018, a large increase from 52 per 100,000. Gonorrhoea rates within each district have remained fairly stable except for Ashford and Folkestone and Hythe. In Ashford, there has been a 29.7% increase from a rate of 74 per 100,000 in 2022 to 96 in 2023 and Folkestone and Hythe where there is an 8.2% increase from 98 per 100,000 in 2022 to 106 in 2023. Tunbridge Wells has the lowest rate (32 per 100,000 in 2023). Whilst STI testing rates have increased, the rapid increase in diagnoses in these districts may reflect rising gonorrhoea infections in the population.</w:t>
      </w:r>
    </w:p>
    <w:p w14:paraId="221B6025" w14:textId="77777777" w:rsidR="004123A9" w:rsidRPr="00AF7733" w:rsidRDefault="60CB06FA" w:rsidP="49636075">
      <w:pPr>
        <w:pStyle w:val="Heading2"/>
        <w:numPr>
          <w:ilvl w:val="0"/>
          <w:numId w:val="0"/>
        </w:numPr>
        <w:rPr>
          <w:rFonts w:ascii="Verdana" w:eastAsia="Verdana" w:hAnsi="Verdana" w:cs="Verdana"/>
          <w:sz w:val="22"/>
          <w:szCs w:val="22"/>
        </w:rPr>
      </w:pPr>
      <w:bookmarkStart w:id="36" w:name="_Toc1526024305"/>
      <w:r w:rsidRPr="136F3BEB">
        <w:rPr>
          <w:rFonts w:ascii="Verdana" w:hAnsi="Verdana"/>
          <w:sz w:val="22"/>
          <w:szCs w:val="22"/>
        </w:rPr>
        <w:lastRenderedPageBreak/>
        <w:t xml:space="preserve">4.1.3 </w:t>
      </w:r>
      <w:r w:rsidR="2542023A" w:rsidRPr="136F3BEB">
        <w:rPr>
          <w:rFonts w:ascii="Verdana" w:eastAsia="Verdana" w:hAnsi="Verdana" w:cs="Verdana"/>
          <w:sz w:val="22"/>
          <w:szCs w:val="22"/>
        </w:rPr>
        <w:t>Genital Herpes and warts</w:t>
      </w:r>
      <w:bookmarkEnd w:id="36"/>
    </w:p>
    <w:p w14:paraId="0F443E3E" w14:textId="77777777" w:rsidR="004123A9" w:rsidRPr="00AF7733" w:rsidRDefault="004123A9" w:rsidP="004123A9">
      <w:pPr>
        <w:jc w:val="both"/>
        <w:rPr>
          <w:rFonts w:ascii="Verdana" w:hAnsi="Verdana"/>
          <w:sz w:val="22"/>
          <w:szCs w:val="22"/>
        </w:rPr>
      </w:pPr>
      <w:r w:rsidRPr="00AF7733">
        <w:rPr>
          <w:rFonts w:ascii="Verdana" w:hAnsi="Verdana"/>
          <w:sz w:val="22"/>
          <w:szCs w:val="22"/>
        </w:rPr>
        <w:t>Genital Herpes is caused by the herpes simplex virus and currently there is a greater burden of the infection amongst men compared to women. There is currently no cure for herpes, but the infection can be treated and managed. Following an increase of 33.4% between 2020 and 2023 in Kent, the rate of herpes diagnosis is highest in Canterbury at 60.9 per 100,000 and lowest in Tunbridge Wells in 22.4 per 100,000</w:t>
      </w:r>
      <w:r w:rsidR="00254C74" w:rsidRPr="00AF7733">
        <w:rPr>
          <w:rFonts w:ascii="Verdana" w:hAnsi="Verdana"/>
          <w:sz w:val="22"/>
          <w:szCs w:val="22"/>
        </w:rPr>
        <w:t>.</w:t>
      </w:r>
      <w:r w:rsidRPr="00AF7733">
        <w:rPr>
          <w:rFonts w:ascii="Verdana" w:hAnsi="Verdana"/>
          <w:sz w:val="22"/>
          <w:szCs w:val="22"/>
        </w:rPr>
        <w:t xml:space="preserve"> </w:t>
      </w:r>
    </w:p>
    <w:p w14:paraId="481478FC" w14:textId="77777777" w:rsidR="00AB0EFD" w:rsidRPr="00AF7733" w:rsidRDefault="3844D970" w:rsidP="00254C74">
      <w:pPr>
        <w:jc w:val="both"/>
        <w:rPr>
          <w:rFonts w:ascii="Verdana" w:hAnsi="Verdana"/>
          <w:sz w:val="22"/>
          <w:szCs w:val="22"/>
        </w:rPr>
      </w:pPr>
      <w:r w:rsidRPr="136F3BEB">
        <w:rPr>
          <w:rFonts w:ascii="Verdana" w:hAnsi="Verdana"/>
          <w:sz w:val="22"/>
          <w:szCs w:val="22"/>
        </w:rPr>
        <w:t>Conversely, the diagnostic rate of genital warts has been decreasing in recent years both within Kent and nationally (</w:t>
      </w:r>
      <w:r w:rsidR="54645B0A" w:rsidRPr="136F3BEB">
        <w:rPr>
          <w:rFonts w:ascii="Verdana" w:hAnsi="Verdana"/>
          <w:b/>
          <w:bCs/>
          <w:sz w:val="22"/>
          <w:szCs w:val="22"/>
        </w:rPr>
        <w:t>F</w:t>
      </w:r>
      <w:r w:rsidRPr="136F3BEB">
        <w:rPr>
          <w:rFonts w:ascii="Verdana" w:hAnsi="Verdana"/>
          <w:b/>
          <w:bCs/>
          <w:sz w:val="22"/>
          <w:szCs w:val="22"/>
        </w:rPr>
        <w:t xml:space="preserve">igure </w:t>
      </w:r>
      <w:r w:rsidR="2C1685A6" w:rsidRPr="136F3BEB">
        <w:rPr>
          <w:rFonts w:ascii="Verdana" w:hAnsi="Verdana"/>
          <w:b/>
          <w:bCs/>
          <w:sz w:val="22"/>
          <w:szCs w:val="22"/>
        </w:rPr>
        <w:t>1</w:t>
      </w:r>
      <w:r w:rsidR="6AF50B3B" w:rsidRPr="136F3BEB">
        <w:rPr>
          <w:rFonts w:ascii="Verdana" w:hAnsi="Verdana"/>
          <w:b/>
          <w:bCs/>
          <w:sz w:val="22"/>
          <w:szCs w:val="22"/>
        </w:rPr>
        <w:t>1</w:t>
      </w:r>
      <w:r w:rsidRPr="136F3BEB">
        <w:rPr>
          <w:rFonts w:ascii="Verdana" w:hAnsi="Verdana"/>
          <w:sz w:val="22"/>
          <w:szCs w:val="22"/>
        </w:rPr>
        <w:t>). The decline in the diagnoses of genital warts may be partially attributed to the uptake of the HPV vaccine.</w:t>
      </w:r>
    </w:p>
    <w:p w14:paraId="547238AF" w14:textId="77777777" w:rsidR="004123A9" w:rsidRPr="00AF7733" w:rsidRDefault="2AF2B16C" w:rsidP="49636075">
      <w:pPr>
        <w:pStyle w:val="Heading2"/>
        <w:numPr>
          <w:ilvl w:val="0"/>
          <w:numId w:val="0"/>
        </w:numPr>
        <w:rPr>
          <w:rFonts w:ascii="Verdana" w:eastAsia="Verdana" w:hAnsi="Verdana" w:cs="Verdana"/>
          <w:sz w:val="22"/>
          <w:szCs w:val="22"/>
        </w:rPr>
      </w:pPr>
      <w:bookmarkStart w:id="37" w:name="_Toc953767803"/>
      <w:r w:rsidRPr="136F3BEB">
        <w:rPr>
          <w:rFonts w:ascii="Verdana" w:hAnsi="Verdana"/>
          <w:sz w:val="22"/>
          <w:szCs w:val="22"/>
        </w:rPr>
        <w:t xml:space="preserve">4.1.4 </w:t>
      </w:r>
      <w:r w:rsidR="2542023A" w:rsidRPr="136F3BEB">
        <w:rPr>
          <w:rFonts w:ascii="Verdana" w:eastAsia="Verdana" w:hAnsi="Verdana" w:cs="Verdana"/>
          <w:sz w:val="22"/>
          <w:szCs w:val="22"/>
        </w:rPr>
        <w:t>Syphilis</w:t>
      </w:r>
      <w:bookmarkEnd w:id="37"/>
    </w:p>
    <w:p w14:paraId="3CF562F2" w14:textId="329D2F89" w:rsidR="00121328" w:rsidRDefault="249E2BC6" w:rsidP="136F3BEB">
      <w:pPr>
        <w:rPr>
          <w:rFonts w:ascii="Verdana" w:hAnsi="Verdana"/>
          <w:sz w:val="22"/>
          <w:szCs w:val="22"/>
        </w:rPr>
      </w:pPr>
      <w:r w:rsidRPr="00AF7733">
        <w:rPr>
          <w:rFonts w:ascii="Verdana" w:hAnsi="Verdana"/>
          <w:sz w:val="22"/>
          <w:szCs w:val="22"/>
        </w:rPr>
        <w:t>Nationally, the incidence of infectious syphilis has increased over the past few years. Historically the infection was more common amongst gay and bisexual men who have sex with men (GBMSM), however recent trends show a larger proportional increase in syphilis diagnoses among heterosexual men and women compared to GBMSM</w:t>
      </w:r>
      <w:r w:rsidR="004123A9" w:rsidRPr="00AF7733">
        <w:rPr>
          <w:rStyle w:val="FootnoteReference"/>
          <w:rFonts w:ascii="Verdana" w:hAnsi="Verdana"/>
          <w:sz w:val="22"/>
          <w:szCs w:val="22"/>
        </w:rPr>
        <w:footnoteReference w:id="88"/>
      </w:r>
      <w:r w:rsidRPr="00AF7733">
        <w:rPr>
          <w:rFonts w:ascii="Verdana" w:hAnsi="Verdana"/>
          <w:sz w:val="22"/>
          <w:szCs w:val="22"/>
        </w:rPr>
        <w:t>. In Kent the diagnostic rate of primary, secondary and early latent infectious syphilis is 6.3 per 100,000 in 2023 a decrease from 8.2 in 2022 (</w:t>
      </w:r>
      <w:r w:rsidRPr="00AF7733">
        <w:rPr>
          <w:rFonts w:ascii="Verdana" w:hAnsi="Verdana"/>
          <w:b/>
          <w:bCs/>
          <w:sz w:val="22"/>
          <w:szCs w:val="22"/>
        </w:rPr>
        <w:t xml:space="preserve">Figure </w:t>
      </w:r>
      <w:r w:rsidR="2D55217C" w:rsidRPr="00AF7733">
        <w:rPr>
          <w:rFonts w:ascii="Verdana" w:hAnsi="Verdana"/>
          <w:b/>
          <w:bCs/>
          <w:sz w:val="22"/>
          <w:szCs w:val="22"/>
        </w:rPr>
        <w:t>1</w:t>
      </w:r>
      <w:r w:rsidR="2E90A867" w:rsidRPr="00AF7733">
        <w:rPr>
          <w:rFonts w:ascii="Verdana" w:hAnsi="Verdana"/>
          <w:b/>
          <w:bCs/>
          <w:sz w:val="22"/>
          <w:szCs w:val="22"/>
        </w:rPr>
        <w:t>1</w:t>
      </w:r>
      <w:r w:rsidRPr="00AF7733">
        <w:rPr>
          <w:rFonts w:ascii="Verdana" w:hAnsi="Verdana"/>
          <w:sz w:val="22"/>
          <w:szCs w:val="22"/>
        </w:rPr>
        <w:t>). This is lower than that of England (16.7 per 100,000) and the South East (9.3 per 100,000), and trends in Kent do not appear to be increasing in line with the national rise.</w:t>
      </w:r>
    </w:p>
    <w:p w14:paraId="53356E63" w14:textId="77777777" w:rsidR="00121328" w:rsidRDefault="00121328">
      <w:pPr>
        <w:spacing w:before="0" w:after="200"/>
        <w:rPr>
          <w:rFonts w:ascii="Verdana" w:hAnsi="Verdana"/>
          <w:sz w:val="22"/>
          <w:szCs w:val="22"/>
        </w:rPr>
      </w:pPr>
      <w:r>
        <w:rPr>
          <w:rFonts w:ascii="Verdana" w:hAnsi="Verdana"/>
          <w:sz w:val="22"/>
          <w:szCs w:val="22"/>
        </w:rPr>
        <w:br w:type="page"/>
      </w:r>
    </w:p>
    <w:p w14:paraId="40D125A0" w14:textId="77777777" w:rsidR="004123A9" w:rsidRPr="0089791B" w:rsidRDefault="004123A9" w:rsidP="136F3BEB">
      <w:pPr>
        <w:rPr>
          <w:rFonts w:ascii="Verdana" w:hAnsi="Verdana"/>
          <w:b/>
          <w:bCs/>
          <w:sz w:val="22"/>
          <w:szCs w:val="22"/>
        </w:rPr>
      </w:pPr>
    </w:p>
    <w:p w14:paraId="2CE1C1CC" w14:textId="5838F2C5" w:rsidR="004123A9" w:rsidRPr="0089791B" w:rsidRDefault="016F3E4E" w:rsidP="4A0F6D8A">
      <w:pPr>
        <w:rPr>
          <w:rFonts w:ascii="Verdana" w:hAnsi="Verdana"/>
          <w:b/>
          <w:bCs/>
          <w:sz w:val="22"/>
          <w:szCs w:val="22"/>
        </w:rPr>
      </w:pPr>
      <w:r w:rsidRPr="0089791B">
        <w:rPr>
          <w:rFonts w:ascii="Verdana" w:hAnsi="Verdana"/>
          <w:b/>
          <w:bCs/>
          <w:sz w:val="22"/>
          <w:szCs w:val="22"/>
        </w:rPr>
        <w:t>Figure 1</w:t>
      </w:r>
      <w:r w:rsidR="5CD9ADB5" w:rsidRPr="0089791B">
        <w:rPr>
          <w:rFonts w:ascii="Verdana" w:hAnsi="Verdana"/>
          <w:b/>
          <w:bCs/>
          <w:sz w:val="22"/>
          <w:szCs w:val="22"/>
        </w:rPr>
        <w:t>1</w:t>
      </w:r>
      <w:r w:rsidRPr="0089791B">
        <w:rPr>
          <w:rFonts w:ascii="Verdana" w:hAnsi="Verdana"/>
          <w:b/>
          <w:bCs/>
          <w:sz w:val="22"/>
          <w:szCs w:val="22"/>
        </w:rPr>
        <w:t>:</w:t>
      </w:r>
      <w:r w:rsidR="403102C3" w:rsidRPr="0089791B">
        <w:rPr>
          <w:rFonts w:ascii="Verdana" w:hAnsi="Verdana"/>
          <w:b/>
          <w:bCs/>
          <w:sz w:val="22"/>
          <w:szCs w:val="22"/>
        </w:rPr>
        <w:t xml:space="preserve"> Crude</w:t>
      </w:r>
      <w:r w:rsidRPr="0089791B">
        <w:rPr>
          <w:rFonts w:ascii="Verdana" w:hAnsi="Verdana"/>
          <w:b/>
          <w:bCs/>
          <w:sz w:val="22"/>
          <w:szCs w:val="22"/>
        </w:rPr>
        <w:t xml:space="preserve"> STI diagnostic rate in Kent, 2018 to 202</w:t>
      </w:r>
      <w:r w:rsidR="7FF26C58">
        <w:rPr>
          <w:rFonts w:ascii="Verdana" w:hAnsi="Verdana"/>
          <w:b/>
          <w:bCs/>
          <w:sz w:val="22"/>
          <w:szCs w:val="22"/>
        </w:rPr>
        <w:t>3, all ages</w:t>
      </w:r>
    </w:p>
    <w:p w14:paraId="6BD46774" w14:textId="52F66FB6" w:rsidR="004123A9" w:rsidRPr="0089791B" w:rsidRDefault="00083278" w:rsidP="004123A9">
      <w:pPr>
        <w:rPr>
          <w:rFonts w:ascii="Verdana" w:hAnsi="Verdana"/>
          <w:b/>
          <w:bCs/>
          <w:sz w:val="22"/>
          <w:szCs w:val="22"/>
        </w:rPr>
      </w:pPr>
      <w:r w:rsidRPr="00AF7733">
        <w:rPr>
          <w:rFonts w:ascii="Verdana" w:hAnsi="Verdana"/>
          <w:noProof/>
          <w:color w:val="2B579A"/>
          <w:sz w:val="22"/>
          <w:szCs w:val="22"/>
          <w:shd w:val="clear" w:color="auto" w:fill="E6E6E6"/>
        </w:rPr>
        <w:drawing>
          <wp:inline distT="0" distB="0" distL="0" distR="0" wp14:anchorId="532878F3" wp14:editId="0333DE5A">
            <wp:extent cx="5461635" cy="3699510"/>
            <wp:effectExtent l="0" t="0" r="5715" b="0"/>
            <wp:docPr id="649517441" name="Picture 11" descr="Line graphs showing the diagnostic rate for herpes, warts, gonorrhoea and syphilis. Gonorrhoea has the highest diagnostics rate and has been increasing. Syphilis rates in Kent are declining, despite increasing nation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8">
                      <a:extLst>
                        <a:ext uri="{28A0092B-C50C-407E-A947-70E740481C1C}">
                          <a14:useLocalDpi xmlns:a14="http://schemas.microsoft.com/office/drawing/2010/main" val="0"/>
                        </a:ext>
                      </a:extLst>
                    </a:blip>
                    <a:srcRect l="911" r="1462" b="790"/>
                    <a:stretch>
                      <a:fillRect/>
                    </a:stretch>
                  </pic:blipFill>
                  <pic:spPr bwMode="auto">
                    <a:xfrm>
                      <a:off x="0" y="0"/>
                      <a:ext cx="5461635" cy="3699510"/>
                    </a:xfrm>
                    <a:prstGeom prst="rect">
                      <a:avLst/>
                    </a:prstGeom>
                    <a:noFill/>
                    <a:ln>
                      <a:noFill/>
                    </a:ln>
                    <a:extLst>
                      <a:ext uri="{53640926-AAD7-44D8-BBD7-CCE9431645EC}">
                        <a14:shadowObscured xmlns:a14="http://schemas.microsoft.com/office/drawing/2010/main"/>
                      </a:ext>
                    </a:extLst>
                  </pic:spPr>
                </pic:pic>
              </a:graphicData>
            </a:graphic>
          </wp:inline>
        </w:drawing>
      </w:r>
    </w:p>
    <w:p w14:paraId="4E91BDC2" w14:textId="77777777" w:rsidR="009F2C10" w:rsidRPr="0089791B" w:rsidRDefault="320AB75F" w:rsidP="49636075">
      <w:pPr>
        <w:pStyle w:val="Heading2"/>
        <w:numPr>
          <w:ilvl w:val="0"/>
          <w:numId w:val="0"/>
        </w:numPr>
        <w:rPr>
          <w:rFonts w:ascii="Verdana" w:eastAsia="Verdana" w:hAnsi="Verdana" w:cs="Verdana"/>
          <w:sz w:val="24"/>
          <w:szCs w:val="24"/>
        </w:rPr>
      </w:pPr>
      <w:bookmarkStart w:id="38" w:name="_Toc1374413332"/>
      <w:r w:rsidRPr="136F3BEB">
        <w:rPr>
          <w:rFonts w:ascii="Verdana" w:hAnsi="Verdana"/>
          <w:sz w:val="24"/>
          <w:szCs w:val="24"/>
        </w:rPr>
        <w:t xml:space="preserve">4.2 </w:t>
      </w:r>
      <w:r w:rsidR="61581207" w:rsidRPr="136F3BEB">
        <w:rPr>
          <w:rFonts w:ascii="Verdana" w:eastAsia="Verdana" w:hAnsi="Verdana" w:cs="Verdana"/>
          <w:sz w:val="24"/>
          <w:szCs w:val="24"/>
        </w:rPr>
        <w:t>HIV</w:t>
      </w:r>
      <w:bookmarkEnd w:id="38"/>
    </w:p>
    <w:p w14:paraId="1857B279" w14:textId="77777777" w:rsidR="00083278" w:rsidRDefault="00083278" w:rsidP="009F2C10">
      <w:pPr>
        <w:jc w:val="both"/>
        <w:rPr>
          <w:rFonts w:ascii="Verdana" w:hAnsi="Verdana"/>
          <w:sz w:val="22"/>
          <w:szCs w:val="22"/>
        </w:rPr>
      </w:pPr>
    </w:p>
    <w:p w14:paraId="4829959D" w14:textId="24E3D1DA" w:rsidR="009F2C10" w:rsidRPr="008D6AC4" w:rsidRDefault="44536312" w:rsidP="009F2C10">
      <w:pPr>
        <w:jc w:val="both"/>
        <w:rPr>
          <w:rFonts w:ascii="Verdana" w:hAnsi="Verdana"/>
          <w:sz w:val="22"/>
          <w:szCs w:val="22"/>
        </w:rPr>
      </w:pPr>
      <w:r w:rsidRPr="008D6AC4">
        <w:rPr>
          <w:rFonts w:ascii="Verdana" w:hAnsi="Verdana"/>
          <w:sz w:val="22"/>
          <w:szCs w:val="22"/>
        </w:rPr>
        <w:t>The HIV action plan in England aims to reduce HIV transmission and AIDS and HIV related deaths by 2030</w:t>
      </w:r>
      <w:r w:rsidR="009F2C10" w:rsidRPr="008D6AC4">
        <w:rPr>
          <w:rStyle w:val="FootnoteReference"/>
          <w:rFonts w:ascii="Verdana" w:hAnsi="Verdana"/>
          <w:sz w:val="22"/>
          <w:szCs w:val="22"/>
        </w:rPr>
        <w:footnoteReference w:id="89"/>
      </w:r>
      <w:r w:rsidRPr="008D6AC4">
        <w:rPr>
          <w:rFonts w:ascii="Verdana" w:hAnsi="Verdana"/>
          <w:sz w:val="22"/>
          <w:szCs w:val="22"/>
        </w:rPr>
        <w:t>. HIV has been transformed from a deadly infection to a lifelong, manageable condition thanks to free and effective antiretroviral therapy (ART). People diagnosed and living with HIV can expect to have a near normal life expectancy if diagnosed and treated early.</w:t>
      </w:r>
    </w:p>
    <w:p w14:paraId="7E5D9594" w14:textId="77777777" w:rsidR="009F2C10" w:rsidRPr="00DD40C3" w:rsidRDefault="77BB1EB3" w:rsidP="00DD40C3">
      <w:pPr>
        <w:jc w:val="both"/>
        <w:rPr>
          <w:rFonts w:ascii="Verdana" w:hAnsi="Verdana"/>
          <w:color w:val="FF0000"/>
          <w:sz w:val="22"/>
          <w:szCs w:val="22"/>
        </w:rPr>
      </w:pPr>
      <w:r w:rsidRPr="008D6AC4">
        <w:rPr>
          <w:rFonts w:ascii="Verdana" w:hAnsi="Verdana"/>
          <w:sz w:val="22"/>
          <w:szCs w:val="22"/>
        </w:rPr>
        <w:t xml:space="preserve">NICE guidelines define high HIV prevalence </w:t>
      </w:r>
      <w:r w:rsidR="44BE0430" w:rsidRPr="008D6AC4">
        <w:rPr>
          <w:rFonts w:ascii="Verdana" w:hAnsi="Verdana"/>
          <w:sz w:val="22"/>
          <w:szCs w:val="22"/>
        </w:rPr>
        <w:t xml:space="preserve">in </w:t>
      </w:r>
      <w:r w:rsidRPr="008D6AC4">
        <w:rPr>
          <w:rFonts w:ascii="Verdana" w:hAnsi="Verdana"/>
          <w:sz w:val="22"/>
          <w:szCs w:val="22"/>
        </w:rPr>
        <w:t xml:space="preserve">local authorities as </w:t>
      </w:r>
      <w:r w:rsidR="76D3B9BE">
        <w:rPr>
          <w:rFonts w:ascii="Verdana" w:hAnsi="Verdana"/>
          <w:sz w:val="22"/>
          <w:szCs w:val="22"/>
        </w:rPr>
        <w:t>areas</w:t>
      </w:r>
      <w:r w:rsidRPr="008D6AC4">
        <w:rPr>
          <w:rFonts w:ascii="Verdana" w:hAnsi="Verdana"/>
          <w:sz w:val="22"/>
          <w:szCs w:val="22"/>
        </w:rPr>
        <w:t xml:space="preserve"> with a prevalence between 2 and 5 per 1,000 and extremely high prevalence as those with a diagnosed HIV prevalence of 5 or more per 1,000 people aged 15 to 59 years</w:t>
      </w:r>
      <w:r w:rsidR="002B1F87" w:rsidRPr="008D6AC4">
        <w:rPr>
          <w:rStyle w:val="FootnoteReference"/>
          <w:rFonts w:ascii="Verdana" w:hAnsi="Verdana"/>
          <w:sz w:val="22"/>
          <w:szCs w:val="22"/>
        </w:rPr>
        <w:footnoteReference w:id="90"/>
      </w:r>
      <w:r w:rsidR="66365994" w:rsidRPr="008D6AC4">
        <w:rPr>
          <w:rFonts w:ascii="Verdana" w:hAnsi="Verdana"/>
          <w:sz w:val="22"/>
          <w:szCs w:val="22"/>
        </w:rPr>
        <w:t xml:space="preserve">. </w:t>
      </w:r>
      <w:r w:rsidR="66365994" w:rsidRPr="0089791B">
        <w:rPr>
          <w:rFonts w:ascii="Verdana" w:hAnsi="Verdana"/>
          <w:sz w:val="22"/>
          <w:szCs w:val="22"/>
        </w:rPr>
        <w:t>The crude</w:t>
      </w:r>
      <w:r w:rsidR="4786249B" w:rsidRPr="0089791B">
        <w:rPr>
          <w:rFonts w:ascii="Verdana" w:hAnsi="Verdana"/>
          <w:sz w:val="22"/>
          <w:szCs w:val="22"/>
        </w:rPr>
        <w:t xml:space="preserve"> HIV diagnosed prevalence rate per 1,000 amongst 15 to 59 year olds </w:t>
      </w:r>
      <w:r w:rsidR="622CD0EA" w:rsidRPr="0089791B">
        <w:rPr>
          <w:rFonts w:ascii="Verdana" w:hAnsi="Verdana"/>
          <w:sz w:val="22"/>
          <w:szCs w:val="22"/>
        </w:rPr>
        <w:t>in Kent was 1.</w:t>
      </w:r>
      <w:r w:rsidR="19F2F046" w:rsidRPr="0089791B">
        <w:rPr>
          <w:rFonts w:ascii="Verdana" w:hAnsi="Verdana"/>
          <w:sz w:val="22"/>
          <w:szCs w:val="22"/>
        </w:rPr>
        <w:t>48</w:t>
      </w:r>
      <w:r w:rsidR="622CD0EA" w:rsidRPr="0089791B">
        <w:rPr>
          <w:rFonts w:ascii="Verdana" w:hAnsi="Verdana"/>
          <w:sz w:val="22"/>
          <w:szCs w:val="22"/>
        </w:rPr>
        <w:t xml:space="preserve"> per 1,000</w:t>
      </w:r>
      <w:r w:rsidR="70182D19" w:rsidRPr="0089791B">
        <w:rPr>
          <w:rFonts w:ascii="Verdana" w:hAnsi="Verdana"/>
          <w:sz w:val="22"/>
          <w:szCs w:val="22"/>
        </w:rPr>
        <w:t xml:space="preserve"> in 202</w:t>
      </w:r>
      <w:r w:rsidR="5EB9167D">
        <w:rPr>
          <w:rFonts w:ascii="Verdana" w:hAnsi="Verdana"/>
          <w:sz w:val="22"/>
          <w:szCs w:val="22"/>
        </w:rPr>
        <w:t>3</w:t>
      </w:r>
      <w:r w:rsidR="622CD0EA" w:rsidRPr="0089791B">
        <w:rPr>
          <w:rFonts w:ascii="Verdana" w:hAnsi="Verdana"/>
          <w:sz w:val="22"/>
          <w:szCs w:val="22"/>
        </w:rPr>
        <w:t>, a</w:t>
      </w:r>
      <w:r w:rsidR="1F08D184" w:rsidRPr="0089791B">
        <w:rPr>
          <w:rFonts w:ascii="Verdana" w:hAnsi="Verdana"/>
          <w:sz w:val="22"/>
          <w:szCs w:val="22"/>
        </w:rPr>
        <w:t xml:space="preserve">n </w:t>
      </w:r>
      <w:r w:rsidR="622CD0EA" w:rsidRPr="0089791B">
        <w:rPr>
          <w:rFonts w:ascii="Verdana" w:hAnsi="Verdana"/>
          <w:sz w:val="22"/>
          <w:szCs w:val="22"/>
        </w:rPr>
        <w:t xml:space="preserve">increase from </w:t>
      </w:r>
      <w:r w:rsidR="34798EC6" w:rsidRPr="0089791B">
        <w:rPr>
          <w:rFonts w:ascii="Verdana" w:hAnsi="Verdana"/>
          <w:sz w:val="22"/>
          <w:szCs w:val="22"/>
        </w:rPr>
        <w:t>1.4</w:t>
      </w:r>
      <w:r w:rsidR="5EB9167D">
        <w:rPr>
          <w:rFonts w:ascii="Verdana" w:hAnsi="Verdana"/>
          <w:sz w:val="22"/>
          <w:szCs w:val="22"/>
        </w:rPr>
        <w:t>1</w:t>
      </w:r>
      <w:r w:rsidR="622CD0EA" w:rsidRPr="0089791B">
        <w:rPr>
          <w:rFonts w:ascii="Verdana" w:hAnsi="Verdana"/>
          <w:sz w:val="22"/>
          <w:szCs w:val="22"/>
        </w:rPr>
        <w:t xml:space="preserve"> in 2021 and trends show an increase over the past decade. The prevalence is lower than the South East (</w:t>
      </w:r>
      <w:r w:rsidR="5EB9167D">
        <w:rPr>
          <w:rFonts w:ascii="Verdana" w:hAnsi="Verdana"/>
          <w:sz w:val="22"/>
          <w:szCs w:val="22"/>
        </w:rPr>
        <w:t xml:space="preserve">1.91 in 2023 and </w:t>
      </w:r>
      <w:r w:rsidR="622CD0EA" w:rsidRPr="0089791B">
        <w:rPr>
          <w:rFonts w:ascii="Verdana" w:hAnsi="Verdana"/>
          <w:sz w:val="22"/>
          <w:szCs w:val="22"/>
        </w:rPr>
        <w:t>1.</w:t>
      </w:r>
      <w:r w:rsidR="70182D19" w:rsidRPr="0089791B">
        <w:rPr>
          <w:rFonts w:ascii="Verdana" w:hAnsi="Verdana"/>
          <w:sz w:val="22"/>
          <w:szCs w:val="22"/>
        </w:rPr>
        <w:t>85</w:t>
      </w:r>
      <w:r w:rsidR="622CD0EA" w:rsidRPr="0089791B">
        <w:rPr>
          <w:rFonts w:ascii="Verdana" w:hAnsi="Verdana"/>
          <w:sz w:val="22"/>
          <w:szCs w:val="22"/>
        </w:rPr>
        <w:t xml:space="preserve"> in 2022) and national level </w:t>
      </w:r>
      <w:r w:rsidR="622CD0EA" w:rsidRPr="00D54022">
        <w:rPr>
          <w:rFonts w:ascii="Verdana" w:hAnsi="Verdana"/>
          <w:sz w:val="22"/>
          <w:szCs w:val="22"/>
        </w:rPr>
        <w:t>(</w:t>
      </w:r>
      <w:r w:rsidR="5EB9167D">
        <w:rPr>
          <w:rFonts w:ascii="Verdana" w:hAnsi="Verdana"/>
          <w:sz w:val="22"/>
          <w:szCs w:val="22"/>
        </w:rPr>
        <w:t xml:space="preserve">2.40 in 2023 and </w:t>
      </w:r>
      <w:r w:rsidR="70182D19" w:rsidRPr="00D54022">
        <w:rPr>
          <w:rFonts w:ascii="Verdana" w:hAnsi="Verdana"/>
          <w:sz w:val="22"/>
          <w:szCs w:val="22"/>
        </w:rPr>
        <w:t>2.34</w:t>
      </w:r>
      <w:r w:rsidR="622CD0EA" w:rsidRPr="00D54022">
        <w:rPr>
          <w:rFonts w:ascii="Verdana" w:hAnsi="Verdana"/>
          <w:sz w:val="22"/>
          <w:szCs w:val="22"/>
        </w:rPr>
        <w:t xml:space="preserve"> in 2022)</w:t>
      </w:r>
      <w:r w:rsidR="70182D19" w:rsidRPr="00D54022">
        <w:rPr>
          <w:rFonts w:ascii="Verdana" w:hAnsi="Verdana"/>
          <w:sz w:val="22"/>
          <w:szCs w:val="22"/>
        </w:rPr>
        <w:t xml:space="preserve">. As Kent is below the </w:t>
      </w:r>
      <w:r w:rsidR="36A5528D" w:rsidRPr="00D54022">
        <w:rPr>
          <w:rFonts w:ascii="Verdana" w:hAnsi="Verdana"/>
          <w:sz w:val="22"/>
          <w:szCs w:val="22"/>
        </w:rPr>
        <w:t xml:space="preserve">prevalence rate of 2 per 1,000 </w:t>
      </w:r>
      <w:r w:rsidR="1E39FC0A" w:rsidRPr="00D54022">
        <w:rPr>
          <w:rFonts w:ascii="Verdana" w:hAnsi="Verdana"/>
          <w:sz w:val="22"/>
          <w:szCs w:val="22"/>
        </w:rPr>
        <w:t xml:space="preserve">it </w:t>
      </w:r>
      <w:r w:rsidR="1E39FC0A">
        <w:rPr>
          <w:rFonts w:ascii="Verdana" w:hAnsi="Verdana"/>
          <w:sz w:val="22"/>
          <w:szCs w:val="22"/>
        </w:rPr>
        <w:t>is not categorised as an area with a high HIV prevalence, however monitoring and</w:t>
      </w:r>
      <w:r w:rsidR="7FDB526A">
        <w:rPr>
          <w:rFonts w:ascii="Verdana" w:hAnsi="Verdana"/>
          <w:sz w:val="22"/>
          <w:szCs w:val="22"/>
        </w:rPr>
        <w:t xml:space="preserve"> </w:t>
      </w:r>
      <w:r w:rsidR="7FDB526A">
        <w:rPr>
          <w:rFonts w:ascii="Verdana" w:hAnsi="Verdana"/>
          <w:sz w:val="22"/>
          <w:szCs w:val="22"/>
        </w:rPr>
        <w:lastRenderedPageBreak/>
        <w:t xml:space="preserve">methods to prevent HIV transmission </w:t>
      </w:r>
      <w:r w:rsidR="7AA51E71">
        <w:rPr>
          <w:rFonts w:ascii="Verdana" w:hAnsi="Verdana"/>
          <w:sz w:val="22"/>
          <w:szCs w:val="22"/>
        </w:rPr>
        <w:t>should continue as the prevalence has increased overtime.</w:t>
      </w:r>
      <w:r w:rsidR="1E39FC0A">
        <w:rPr>
          <w:rFonts w:ascii="Verdana" w:hAnsi="Verdana"/>
          <w:sz w:val="22"/>
          <w:szCs w:val="22"/>
        </w:rPr>
        <w:t xml:space="preserve"> </w:t>
      </w:r>
      <w:r w:rsidR="622CD0EA" w:rsidRPr="008D6AC4">
        <w:rPr>
          <w:rFonts w:ascii="Verdana" w:hAnsi="Verdana"/>
          <w:sz w:val="22"/>
          <w:szCs w:val="22"/>
        </w:rPr>
        <w:t>(</w:t>
      </w:r>
      <w:r w:rsidR="055727B8" w:rsidRPr="008D6AC4">
        <w:rPr>
          <w:rFonts w:ascii="Verdana" w:hAnsi="Verdana"/>
          <w:sz w:val="22"/>
          <w:szCs w:val="22"/>
        </w:rPr>
        <w:t>T</w:t>
      </w:r>
      <w:r w:rsidR="622CD0EA" w:rsidRPr="008D6AC4">
        <w:rPr>
          <w:rFonts w:ascii="Verdana" w:hAnsi="Verdana"/>
          <w:sz w:val="22"/>
          <w:szCs w:val="22"/>
        </w:rPr>
        <w:t>able 1</w:t>
      </w:r>
      <w:r w:rsidR="0050097F">
        <w:rPr>
          <w:rStyle w:val="FootnoteReference"/>
          <w:rFonts w:ascii="Verdana" w:hAnsi="Verdana"/>
          <w:sz w:val="22"/>
          <w:szCs w:val="22"/>
        </w:rPr>
        <w:footnoteReference w:id="91"/>
      </w:r>
      <w:r w:rsidR="622CD0EA" w:rsidRPr="008D6AC4">
        <w:rPr>
          <w:rFonts w:ascii="Verdana" w:hAnsi="Verdana"/>
          <w:sz w:val="22"/>
          <w:szCs w:val="22"/>
        </w:rPr>
        <w:t xml:space="preserve">). </w:t>
      </w:r>
    </w:p>
    <w:p w14:paraId="67403E08" w14:textId="77777777" w:rsidR="009F2C10" w:rsidRPr="008D6AC4" w:rsidRDefault="009F2C10" w:rsidP="009F2C10">
      <w:pPr>
        <w:jc w:val="both"/>
        <w:rPr>
          <w:rFonts w:ascii="Verdana" w:hAnsi="Verdana"/>
          <w:sz w:val="22"/>
          <w:szCs w:val="22"/>
        </w:rPr>
      </w:pPr>
      <w:r w:rsidRPr="008D6AC4">
        <w:rPr>
          <w:rFonts w:ascii="Verdana" w:hAnsi="Verdana"/>
          <w:b/>
          <w:sz w:val="22"/>
          <w:szCs w:val="22"/>
        </w:rPr>
        <w:t xml:space="preserve">Table </w:t>
      </w:r>
      <w:r w:rsidRPr="008D6AC4">
        <w:rPr>
          <w:rFonts w:ascii="Verdana" w:hAnsi="Verdana"/>
          <w:b/>
          <w:bCs/>
          <w:sz w:val="22"/>
          <w:szCs w:val="22"/>
        </w:rPr>
        <w:t>1</w:t>
      </w:r>
      <w:r w:rsidRPr="008D6AC4">
        <w:rPr>
          <w:rFonts w:ascii="Verdana" w:hAnsi="Verdana"/>
          <w:b/>
          <w:sz w:val="22"/>
          <w:szCs w:val="22"/>
        </w:rPr>
        <w:t xml:space="preserve">: HIV diagnosed prevalence rate per 1,000, </w:t>
      </w:r>
      <w:r w:rsidR="007425AC">
        <w:rPr>
          <w:rFonts w:ascii="Verdana" w:hAnsi="Verdana"/>
          <w:b/>
          <w:sz w:val="22"/>
          <w:szCs w:val="22"/>
        </w:rPr>
        <w:t xml:space="preserve">aged 15-59, </w:t>
      </w:r>
      <w:r w:rsidRPr="008D6AC4">
        <w:rPr>
          <w:rFonts w:ascii="Verdana" w:hAnsi="Verdana"/>
          <w:b/>
          <w:sz w:val="22"/>
          <w:szCs w:val="22"/>
        </w:rPr>
        <w:t>201</w:t>
      </w:r>
      <w:r w:rsidR="007425AC">
        <w:rPr>
          <w:rFonts w:ascii="Verdana" w:hAnsi="Verdana"/>
          <w:b/>
          <w:sz w:val="22"/>
          <w:szCs w:val="22"/>
        </w:rPr>
        <w:t>9</w:t>
      </w:r>
      <w:r w:rsidRPr="008D6AC4">
        <w:rPr>
          <w:rFonts w:ascii="Verdana" w:hAnsi="Verdana"/>
          <w:b/>
          <w:sz w:val="22"/>
          <w:szCs w:val="22"/>
        </w:rPr>
        <w:t xml:space="preserve"> to 202</w:t>
      </w:r>
      <w:r w:rsidR="007425AC">
        <w:rPr>
          <w:rFonts w:ascii="Verdana" w:hAnsi="Verdana"/>
          <w:b/>
          <w:sz w:val="22"/>
          <w:szCs w:val="22"/>
        </w:rPr>
        <w:t>3</w:t>
      </w:r>
    </w:p>
    <w:tbl>
      <w:tblPr>
        <w:tblStyle w:val="TableGrid"/>
        <w:tblW w:w="0" w:type="auto"/>
        <w:tblInd w:w="108" w:type="dxa"/>
        <w:tblLook w:val="04A0" w:firstRow="1" w:lastRow="0" w:firstColumn="1" w:lastColumn="0" w:noHBand="0" w:noVBand="1"/>
      </w:tblPr>
      <w:tblGrid>
        <w:gridCol w:w="2694"/>
        <w:gridCol w:w="2126"/>
        <w:gridCol w:w="2003"/>
        <w:gridCol w:w="1966"/>
      </w:tblGrid>
      <w:tr w:rsidR="009F2C10" w:rsidRPr="008D6AC4" w14:paraId="6ECCF71C" w14:textId="77777777" w:rsidTr="6B91972C">
        <w:tc>
          <w:tcPr>
            <w:tcW w:w="2694" w:type="dxa"/>
            <w:shd w:val="clear" w:color="auto" w:fill="DDF1F3"/>
          </w:tcPr>
          <w:p w14:paraId="2698AF12" w14:textId="77777777" w:rsidR="009F2C10" w:rsidRPr="008D6AC4" w:rsidRDefault="009F2C10" w:rsidP="009F2C10">
            <w:pPr>
              <w:jc w:val="both"/>
              <w:rPr>
                <w:rFonts w:ascii="Verdana" w:hAnsi="Verdana"/>
                <w:b/>
                <w:sz w:val="22"/>
                <w:szCs w:val="22"/>
              </w:rPr>
            </w:pPr>
            <w:bookmarkStart w:id="39" w:name="_Hlk146195807"/>
            <w:r w:rsidRPr="008D6AC4">
              <w:rPr>
                <w:rFonts w:ascii="Verdana" w:hAnsi="Verdana"/>
                <w:b/>
                <w:sz w:val="22"/>
                <w:szCs w:val="22"/>
              </w:rPr>
              <w:t>Year</w:t>
            </w:r>
          </w:p>
        </w:tc>
        <w:tc>
          <w:tcPr>
            <w:tcW w:w="2126" w:type="dxa"/>
            <w:shd w:val="clear" w:color="auto" w:fill="DDF1F3"/>
          </w:tcPr>
          <w:p w14:paraId="4A810A2C" w14:textId="77777777" w:rsidR="009F2C10" w:rsidRPr="008D6AC4" w:rsidRDefault="009F2C10" w:rsidP="009F2C10">
            <w:pPr>
              <w:jc w:val="both"/>
              <w:rPr>
                <w:rFonts w:ascii="Verdana" w:hAnsi="Verdana"/>
                <w:b/>
                <w:sz w:val="22"/>
                <w:szCs w:val="22"/>
              </w:rPr>
            </w:pPr>
            <w:r w:rsidRPr="008D6AC4">
              <w:rPr>
                <w:rFonts w:ascii="Verdana" w:hAnsi="Verdana"/>
                <w:b/>
                <w:sz w:val="22"/>
                <w:szCs w:val="22"/>
              </w:rPr>
              <w:t>Kent</w:t>
            </w:r>
          </w:p>
        </w:tc>
        <w:tc>
          <w:tcPr>
            <w:tcW w:w="2003" w:type="dxa"/>
            <w:shd w:val="clear" w:color="auto" w:fill="DDF1F3"/>
          </w:tcPr>
          <w:p w14:paraId="53702282" w14:textId="77777777" w:rsidR="009F2C10" w:rsidRPr="008D6AC4" w:rsidRDefault="009F2C10" w:rsidP="009F2C10">
            <w:pPr>
              <w:jc w:val="both"/>
              <w:rPr>
                <w:rFonts w:ascii="Verdana" w:hAnsi="Verdana"/>
                <w:b/>
                <w:sz w:val="22"/>
                <w:szCs w:val="22"/>
              </w:rPr>
            </w:pPr>
            <w:r w:rsidRPr="008D6AC4">
              <w:rPr>
                <w:rFonts w:ascii="Verdana" w:hAnsi="Verdana"/>
                <w:b/>
                <w:sz w:val="22"/>
                <w:szCs w:val="22"/>
              </w:rPr>
              <w:t>South East</w:t>
            </w:r>
          </w:p>
        </w:tc>
        <w:tc>
          <w:tcPr>
            <w:tcW w:w="1966" w:type="dxa"/>
            <w:shd w:val="clear" w:color="auto" w:fill="DDF1F3"/>
          </w:tcPr>
          <w:p w14:paraId="0FE8BDFB" w14:textId="77777777" w:rsidR="009F2C10" w:rsidRPr="008D6AC4" w:rsidRDefault="009F2C10" w:rsidP="009F2C10">
            <w:pPr>
              <w:jc w:val="both"/>
              <w:rPr>
                <w:rFonts w:ascii="Verdana" w:hAnsi="Verdana"/>
                <w:b/>
                <w:sz w:val="22"/>
                <w:szCs w:val="22"/>
              </w:rPr>
            </w:pPr>
            <w:r w:rsidRPr="008D6AC4">
              <w:rPr>
                <w:rFonts w:ascii="Verdana" w:hAnsi="Verdana"/>
                <w:b/>
                <w:sz w:val="22"/>
                <w:szCs w:val="22"/>
              </w:rPr>
              <w:t>England</w:t>
            </w:r>
          </w:p>
        </w:tc>
      </w:tr>
      <w:tr w:rsidR="009F2C10" w:rsidRPr="008D6AC4" w14:paraId="74C04FA4" w14:textId="77777777" w:rsidTr="6B91972C">
        <w:tc>
          <w:tcPr>
            <w:tcW w:w="2694" w:type="dxa"/>
          </w:tcPr>
          <w:p w14:paraId="4830DE77" w14:textId="77777777" w:rsidR="009F2C10" w:rsidRPr="008D6AC4" w:rsidRDefault="009F2C10" w:rsidP="009F2C10">
            <w:pPr>
              <w:jc w:val="both"/>
              <w:rPr>
                <w:rFonts w:ascii="Verdana" w:hAnsi="Verdana"/>
                <w:b/>
                <w:sz w:val="22"/>
                <w:szCs w:val="22"/>
              </w:rPr>
            </w:pPr>
            <w:r w:rsidRPr="008D6AC4">
              <w:rPr>
                <w:rFonts w:ascii="Verdana" w:hAnsi="Verdana"/>
                <w:sz w:val="22"/>
                <w:szCs w:val="22"/>
              </w:rPr>
              <w:t>2019</w:t>
            </w:r>
          </w:p>
        </w:tc>
        <w:tc>
          <w:tcPr>
            <w:tcW w:w="2126" w:type="dxa"/>
          </w:tcPr>
          <w:p w14:paraId="15D34749" w14:textId="77777777" w:rsidR="009F2C10" w:rsidRPr="008D6AC4" w:rsidRDefault="7B5CF737" w:rsidP="009F2C10">
            <w:pPr>
              <w:jc w:val="both"/>
              <w:rPr>
                <w:rFonts w:ascii="Verdana" w:hAnsi="Verdana"/>
                <w:sz w:val="22"/>
                <w:szCs w:val="22"/>
              </w:rPr>
            </w:pPr>
            <w:r w:rsidRPr="6B91972C">
              <w:rPr>
                <w:rFonts w:ascii="Verdana" w:hAnsi="Verdana"/>
                <w:sz w:val="22"/>
                <w:szCs w:val="22"/>
              </w:rPr>
              <w:t>1.3</w:t>
            </w:r>
            <w:r w:rsidR="007425AC">
              <w:rPr>
                <w:rFonts w:ascii="Verdana" w:hAnsi="Verdana"/>
                <w:sz w:val="22"/>
                <w:szCs w:val="22"/>
              </w:rPr>
              <w:t>7</w:t>
            </w:r>
          </w:p>
        </w:tc>
        <w:tc>
          <w:tcPr>
            <w:tcW w:w="2003" w:type="dxa"/>
          </w:tcPr>
          <w:p w14:paraId="65627D01" w14:textId="77777777" w:rsidR="009F2C10" w:rsidRPr="008D6AC4" w:rsidRDefault="7B5CF737" w:rsidP="009F2C10">
            <w:pPr>
              <w:jc w:val="both"/>
              <w:rPr>
                <w:rFonts w:ascii="Verdana" w:hAnsi="Verdana"/>
                <w:sz w:val="22"/>
                <w:szCs w:val="22"/>
              </w:rPr>
            </w:pPr>
            <w:r w:rsidRPr="6B91972C">
              <w:rPr>
                <w:rFonts w:ascii="Verdana" w:hAnsi="Verdana"/>
                <w:sz w:val="22"/>
                <w:szCs w:val="22"/>
              </w:rPr>
              <w:t>1.89</w:t>
            </w:r>
          </w:p>
        </w:tc>
        <w:tc>
          <w:tcPr>
            <w:tcW w:w="1966" w:type="dxa"/>
          </w:tcPr>
          <w:p w14:paraId="0E628621" w14:textId="77777777" w:rsidR="009F2C10" w:rsidRPr="008D6AC4" w:rsidRDefault="25E36102" w:rsidP="009F2C10">
            <w:pPr>
              <w:jc w:val="both"/>
              <w:rPr>
                <w:rFonts w:ascii="Verdana" w:hAnsi="Verdana"/>
                <w:sz w:val="22"/>
                <w:szCs w:val="22"/>
              </w:rPr>
            </w:pPr>
            <w:r w:rsidRPr="6B91972C">
              <w:rPr>
                <w:rFonts w:ascii="Verdana" w:hAnsi="Verdana"/>
                <w:sz w:val="22"/>
                <w:szCs w:val="22"/>
              </w:rPr>
              <w:t>2.40</w:t>
            </w:r>
          </w:p>
        </w:tc>
      </w:tr>
      <w:tr w:rsidR="009F2C10" w:rsidRPr="008D6AC4" w14:paraId="39839A26" w14:textId="77777777" w:rsidTr="6B91972C">
        <w:tc>
          <w:tcPr>
            <w:tcW w:w="2694" w:type="dxa"/>
          </w:tcPr>
          <w:p w14:paraId="10BC3480" w14:textId="77777777" w:rsidR="009F2C10" w:rsidRPr="008D6AC4" w:rsidRDefault="009F2C10" w:rsidP="009F2C10">
            <w:pPr>
              <w:jc w:val="both"/>
              <w:rPr>
                <w:rFonts w:ascii="Verdana" w:hAnsi="Verdana"/>
                <w:sz w:val="22"/>
                <w:szCs w:val="22"/>
              </w:rPr>
            </w:pPr>
            <w:r w:rsidRPr="008D6AC4">
              <w:rPr>
                <w:rFonts w:ascii="Verdana" w:hAnsi="Verdana"/>
                <w:sz w:val="22"/>
                <w:szCs w:val="22"/>
              </w:rPr>
              <w:t>2020</w:t>
            </w:r>
          </w:p>
        </w:tc>
        <w:tc>
          <w:tcPr>
            <w:tcW w:w="2126" w:type="dxa"/>
          </w:tcPr>
          <w:p w14:paraId="1F36D7F6" w14:textId="77777777" w:rsidR="009F2C10" w:rsidRPr="008D6AC4" w:rsidRDefault="25E36102" w:rsidP="009F2C10">
            <w:pPr>
              <w:jc w:val="both"/>
              <w:rPr>
                <w:rFonts w:ascii="Verdana" w:hAnsi="Verdana"/>
                <w:sz w:val="22"/>
                <w:szCs w:val="22"/>
              </w:rPr>
            </w:pPr>
            <w:r w:rsidRPr="6B91972C">
              <w:rPr>
                <w:rFonts w:ascii="Verdana" w:hAnsi="Verdana"/>
                <w:sz w:val="22"/>
                <w:szCs w:val="22"/>
              </w:rPr>
              <w:t>1.40</w:t>
            </w:r>
          </w:p>
        </w:tc>
        <w:tc>
          <w:tcPr>
            <w:tcW w:w="2003" w:type="dxa"/>
          </w:tcPr>
          <w:p w14:paraId="1607BA75" w14:textId="77777777" w:rsidR="009F2C10" w:rsidRPr="008D6AC4" w:rsidRDefault="25E36102" w:rsidP="009F2C10">
            <w:pPr>
              <w:jc w:val="both"/>
              <w:rPr>
                <w:rFonts w:ascii="Verdana" w:hAnsi="Verdana"/>
                <w:sz w:val="22"/>
                <w:szCs w:val="22"/>
              </w:rPr>
            </w:pPr>
            <w:r w:rsidRPr="6B91972C">
              <w:rPr>
                <w:rFonts w:ascii="Verdana" w:hAnsi="Verdana"/>
                <w:sz w:val="22"/>
                <w:szCs w:val="22"/>
              </w:rPr>
              <w:t>1.8</w:t>
            </w:r>
            <w:r w:rsidR="21086B67" w:rsidRPr="6B91972C">
              <w:rPr>
                <w:rFonts w:ascii="Verdana" w:hAnsi="Verdana"/>
                <w:sz w:val="22"/>
                <w:szCs w:val="22"/>
              </w:rPr>
              <w:t>6</w:t>
            </w:r>
          </w:p>
        </w:tc>
        <w:tc>
          <w:tcPr>
            <w:tcW w:w="1966" w:type="dxa"/>
          </w:tcPr>
          <w:p w14:paraId="4188D5EC" w14:textId="77777777" w:rsidR="009F2C10" w:rsidRPr="008D6AC4" w:rsidRDefault="1E0602D6" w:rsidP="009F2C10">
            <w:pPr>
              <w:jc w:val="both"/>
              <w:rPr>
                <w:rFonts w:ascii="Verdana" w:hAnsi="Verdana"/>
                <w:sz w:val="22"/>
                <w:szCs w:val="22"/>
              </w:rPr>
            </w:pPr>
            <w:r w:rsidRPr="6B91972C">
              <w:rPr>
                <w:rFonts w:ascii="Verdana" w:hAnsi="Verdana"/>
                <w:sz w:val="22"/>
                <w:szCs w:val="22"/>
              </w:rPr>
              <w:t>2.33</w:t>
            </w:r>
          </w:p>
        </w:tc>
      </w:tr>
      <w:tr w:rsidR="009F2C10" w:rsidRPr="008D6AC4" w14:paraId="3789A621" w14:textId="77777777" w:rsidTr="6B91972C">
        <w:tc>
          <w:tcPr>
            <w:tcW w:w="2694" w:type="dxa"/>
          </w:tcPr>
          <w:p w14:paraId="08BD6E5D" w14:textId="77777777" w:rsidR="009F2C10" w:rsidRPr="008D6AC4" w:rsidRDefault="009F2C10" w:rsidP="009F2C10">
            <w:pPr>
              <w:jc w:val="both"/>
              <w:rPr>
                <w:rFonts w:ascii="Verdana" w:hAnsi="Verdana"/>
                <w:b/>
                <w:sz w:val="22"/>
                <w:szCs w:val="22"/>
              </w:rPr>
            </w:pPr>
            <w:r w:rsidRPr="008D6AC4">
              <w:rPr>
                <w:rFonts w:ascii="Verdana" w:hAnsi="Verdana"/>
                <w:sz w:val="22"/>
                <w:szCs w:val="22"/>
              </w:rPr>
              <w:t>2021</w:t>
            </w:r>
          </w:p>
        </w:tc>
        <w:tc>
          <w:tcPr>
            <w:tcW w:w="2126" w:type="dxa"/>
          </w:tcPr>
          <w:p w14:paraId="663F8EFE" w14:textId="77777777" w:rsidR="009F2C10" w:rsidRPr="008D6AC4" w:rsidRDefault="001F0288" w:rsidP="009F2C10">
            <w:pPr>
              <w:jc w:val="both"/>
              <w:rPr>
                <w:rFonts w:ascii="Verdana" w:hAnsi="Verdana"/>
                <w:sz w:val="22"/>
                <w:szCs w:val="22"/>
              </w:rPr>
            </w:pPr>
            <w:r w:rsidRPr="6B91972C">
              <w:rPr>
                <w:rFonts w:ascii="Verdana" w:hAnsi="Verdana"/>
                <w:sz w:val="22"/>
                <w:szCs w:val="22"/>
              </w:rPr>
              <w:t>1.4</w:t>
            </w:r>
            <w:r w:rsidR="007425AC">
              <w:rPr>
                <w:rFonts w:ascii="Verdana" w:hAnsi="Verdana"/>
                <w:sz w:val="22"/>
                <w:szCs w:val="22"/>
              </w:rPr>
              <w:t>1</w:t>
            </w:r>
          </w:p>
        </w:tc>
        <w:tc>
          <w:tcPr>
            <w:tcW w:w="2003" w:type="dxa"/>
          </w:tcPr>
          <w:p w14:paraId="2F5DA2BB" w14:textId="77777777" w:rsidR="009F2C10" w:rsidRPr="008D6AC4" w:rsidRDefault="1E0602D6" w:rsidP="009F2C10">
            <w:pPr>
              <w:jc w:val="both"/>
              <w:rPr>
                <w:rFonts w:ascii="Verdana" w:hAnsi="Verdana"/>
                <w:sz w:val="22"/>
                <w:szCs w:val="22"/>
              </w:rPr>
            </w:pPr>
            <w:r w:rsidRPr="6B91972C">
              <w:rPr>
                <w:rFonts w:ascii="Verdana" w:hAnsi="Verdana"/>
                <w:sz w:val="22"/>
                <w:szCs w:val="22"/>
              </w:rPr>
              <w:t>1.79</w:t>
            </w:r>
          </w:p>
        </w:tc>
        <w:tc>
          <w:tcPr>
            <w:tcW w:w="1966" w:type="dxa"/>
          </w:tcPr>
          <w:p w14:paraId="3638AE76" w14:textId="77777777" w:rsidR="009F2C10" w:rsidRPr="008D6AC4" w:rsidRDefault="1E0602D6" w:rsidP="009F2C10">
            <w:pPr>
              <w:jc w:val="both"/>
              <w:rPr>
                <w:rFonts w:ascii="Verdana" w:hAnsi="Verdana"/>
                <w:sz w:val="22"/>
                <w:szCs w:val="22"/>
              </w:rPr>
            </w:pPr>
            <w:r w:rsidRPr="6B91972C">
              <w:rPr>
                <w:rFonts w:ascii="Verdana" w:hAnsi="Verdana"/>
                <w:sz w:val="22"/>
                <w:szCs w:val="22"/>
              </w:rPr>
              <w:t>2.32</w:t>
            </w:r>
          </w:p>
        </w:tc>
      </w:tr>
      <w:tr w:rsidR="009F2C10" w:rsidRPr="008D6AC4" w14:paraId="40EEB555" w14:textId="77777777" w:rsidTr="0089791B">
        <w:trPr>
          <w:trHeight w:val="50"/>
        </w:trPr>
        <w:tc>
          <w:tcPr>
            <w:tcW w:w="2694" w:type="dxa"/>
          </w:tcPr>
          <w:p w14:paraId="36B721D8" w14:textId="77777777" w:rsidR="009F2C10" w:rsidRPr="008D6AC4" w:rsidRDefault="009F2C10" w:rsidP="009F2C10">
            <w:pPr>
              <w:jc w:val="both"/>
              <w:rPr>
                <w:rFonts w:ascii="Verdana" w:hAnsi="Verdana"/>
                <w:b/>
                <w:sz w:val="22"/>
                <w:szCs w:val="22"/>
              </w:rPr>
            </w:pPr>
            <w:r w:rsidRPr="008D6AC4">
              <w:rPr>
                <w:rFonts w:ascii="Verdana" w:hAnsi="Verdana"/>
                <w:sz w:val="22"/>
                <w:szCs w:val="22"/>
              </w:rPr>
              <w:t>2022</w:t>
            </w:r>
          </w:p>
        </w:tc>
        <w:tc>
          <w:tcPr>
            <w:tcW w:w="2126" w:type="dxa"/>
          </w:tcPr>
          <w:p w14:paraId="2A9A3DDA" w14:textId="77777777" w:rsidR="009F2C10" w:rsidRPr="008D6AC4" w:rsidRDefault="001F0288" w:rsidP="009F2C10">
            <w:pPr>
              <w:jc w:val="both"/>
              <w:rPr>
                <w:rFonts w:ascii="Verdana" w:hAnsi="Verdana"/>
                <w:sz w:val="22"/>
                <w:szCs w:val="22"/>
              </w:rPr>
            </w:pPr>
            <w:r w:rsidRPr="6B91972C">
              <w:rPr>
                <w:rFonts w:ascii="Verdana" w:hAnsi="Verdana"/>
                <w:sz w:val="22"/>
                <w:szCs w:val="22"/>
              </w:rPr>
              <w:t>1.4</w:t>
            </w:r>
            <w:r w:rsidR="007425AC">
              <w:rPr>
                <w:rFonts w:ascii="Verdana" w:hAnsi="Verdana"/>
                <w:sz w:val="22"/>
                <w:szCs w:val="22"/>
              </w:rPr>
              <w:t>7</w:t>
            </w:r>
          </w:p>
        </w:tc>
        <w:tc>
          <w:tcPr>
            <w:tcW w:w="2003" w:type="dxa"/>
          </w:tcPr>
          <w:p w14:paraId="7A439AA0" w14:textId="77777777" w:rsidR="009F2C10" w:rsidRPr="008D6AC4" w:rsidRDefault="1E0602D6" w:rsidP="009F2C10">
            <w:pPr>
              <w:jc w:val="both"/>
              <w:rPr>
                <w:rFonts w:ascii="Verdana" w:hAnsi="Verdana"/>
                <w:sz w:val="22"/>
                <w:szCs w:val="22"/>
              </w:rPr>
            </w:pPr>
            <w:r w:rsidRPr="6B91972C">
              <w:rPr>
                <w:rFonts w:ascii="Verdana" w:hAnsi="Verdana"/>
                <w:sz w:val="22"/>
                <w:szCs w:val="22"/>
              </w:rPr>
              <w:t>1.85</w:t>
            </w:r>
          </w:p>
        </w:tc>
        <w:tc>
          <w:tcPr>
            <w:tcW w:w="1966" w:type="dxa"/>
          </w:tcPr>
          <w:p w14:paraId="0E8FE271" w14:textId="77777777" w:rsidR="009F2C10" w:rsidRPr="008D6AC4" w:rsidRDefault="1E0602D6" w:rsidP="009F2C10">
            <w:pPr>
              <w:jc w:val="both"/>
              <w:rPr>
                <w:rFonts w:ascii="Verdana" w:hAnsi="Verdana"/>
                <w:sz w:val="22"/>
                <w:szCs w:val="22"/>
              </w:rPr>
            </w:pPr>
            <w:r w:rsidRPr="6B91972C">
              <w:rPr>
                <w:rFonts w:ascii="Verdana" w:hAnsi="Verdana"/>
                <w:sz w:val="22"/>
                <w:szCs w:val="22"/>
              </w:rPr>
              <w:t>2.3</w:t>
            </w:r>
            <w:r w:rsidR="007425AC">
              <w:rPr>
                <w:rFonts w:ascii="Verdana" w:hAnsi="Verdana"/>
                <w:sz w:val="22"/>
                <w:szCs w:val="22"/>
              </w:rPr>
              <w:t>3</w:t>
            </w:r>
          </w:p>
        </w:tc>
      </w:tr>
      <w:tr w:rsidR="007425AC" w:rsidRPr="008D6AC4" w14:paraId="113C8AF8" w14:textId="77777777" w:rsidTr="0089791B">
        <w:trPr>
          <w:trHeight w:val="50"/>
        </w:trPr>
        <w:tc>
          <w:tcPr>
            <w:tcW w:w="2694" w:type="dxa"/>
          </w:tcPr>
          <w:p w14:paraId="20AF6522" w14:textId="77777777" w:rsidR="007425AC" w:rsidRPr="008D6AC4" w:rsidRDefault="007425AC" w:rsidP="009F2C10">
            <w:pPr>
              <w:jc w:val="both"/>
              <w:rPr>
                <w:rFonts w:ascii="Verdana" w:hAnsi="Verdana"/>
                <w:sz w:val="22"/>
                <w:szCs w:val="22"/>
              </w:rPr>
            </w:pPr>
            <w:r>
              <w:rPr>
                <w:rFonts w:ascii="Verdana" w:hAnsi="Verdana"/>
                <w:sz w:val="22"/>
                <w:szCs w:val="22"/>
              </w:rPr>
              <w:t>2023</w:t>
            </w:r>
          </w:p>
        </w:tc>
        <w:tc>
          <w:tcPr>
            <w:tcW w:w="2126" w:type="dxa"/>
          </w:tcPr>
          <w:p w14:paraId="03C7885F" w14:textId="77777777" w:rsidR="007425AC" w:rsidRPr="6B91972C" w:rsidRDefault="007425AC" w:rsidP="009F2C10">
            <w:pPr>
              <w:jc w:val="both"/>
              <w:rPr>
                <w:rFonts w:ascii="Verdana" w:hAnsi="Verdana"/>
                <w:sz w:val="22"/>
                <w:szCs w:val="22"/>
              </w:rPr>
            </w:pPr>
            <w:r>
              <w:rPr>
                <w:rFonts w:ascii="Verdana" w:hAnsi="Verdana"/>
                <w:sz w:val="22"/>
                <w:szCs w:val="22"/>
              </w:rPr>
              <w:t>1.48</w:t>
            </w:r>
          </w:p>
        </w:tc>
        <w:tc>
          <w:tcPr>
            <w:tcW w:w="2003" w:type="dxa"/>
          </w:tcPr>
          <w:p w14:paraId="18C74EC6" w14:textId="77777777" w:rsidR="007425AC" w:rsidRPr="6B91972C" w:rsidRDefault="007425AC" w:rsidP="009F2C10">
            <w:pPr>
              <w:jc w:val="both"/>
              <w:rPr>
                <w:rFonts w:ascii="Verdana" w:hAnsi="Verdana"/>
                <w:sz w:val="22"/>
                <w:szCs w:val="22"/>
              </w:rPr>
            </w:pPr>
            <w:r>
              <w:rPr>
                <w:rFonts w:ascii="Verdana" w:hAnsi="Verdana"/>
                <w:sz w:val="22"/>
                <w:szCs w:val="22"/>
              </w:rPr>
              <w:t>1.91</w:t>
            </w:r>
          </w:p>
        </w:tc>
        <w:tc>
          <w:tcPr>
            <w:tcW w:w="1966" w:type="dxa"/>
          </w:tcPr>
          <w:p w14:paraId="3125C67E" w14:textId="77777777" w:rsidR="007425AC" w:rsidRPr="6B91972C" w:rsidRDefault="007425AC" w:rsidP="009F2C10">
            <w:pPr>
              <w:jc w:val="both"/>
              <w:rPr>
                <w:rFonts w:ascii="Verdana" w:hAnsi="Verdana"/>
                <w:sz w:val="22"/>
                <w:szCs w:val="22"/>
              </w:rPr>
            </w:pPr>
            <w:r>
              <w:rPr>
                <w:rFonts w:ascii="Verdana" w:hAnsi="Verdana"/>
                <w:sz w:val="22"/>
                <w:szCs w:val="22"/>
              </w:rPr>
              <w:t>2.40</w:t>
            </w:r>
          </w:p>
        </w:tc>
      </w:tr>
      <w:bookmarkEnd w:id="39"/>
    </w:tbl>
    <w:p w14:paraId="5AAC129A" w14:textId="77777777" w:rsidR="009F2C10" w:rsidRPr="008D6AC4" w:rsidRDefault="009F2C10" w:rsidP="009F2C10">
      <w:pPr>
        <w:jc w:val="both"/>
        <w:rPr>
          <w:rFonts w:ascii="Verdana" w:hAnsi="Verdana"/>
          <w:sz w:val="22"/>
          <w:szCs w:val="22"/>
        </w:rPr>
      </w:pPr>
    </w:p>
    <w:p w14:paraId="165274DD" w14:textId="77777777" w:rsidR="009F2C10" w:rsidRDefault="1926D93D" w:rsidP="007425AC">
      <w:pPr>
        <w:jc w:val="both"/>
        <w:rPr>
          <w:rFonts w:ascii="Verdana" w:hAnsi="Verdana"/>
          <w:sz w:val="22"/>
          <w:szCs w:val="22"/>
        </w:rPr>
      </w:pPr>
      <w:r w:rsidRPr="6B91972C">
        <w:rPr>
          <w:rFonts w:ascii="Verdana" w:hAnsi="Verdana"/>
          <w:sz w:val="22"/>
          <w:szCs w:val="22"/>
        </w:rPr>
        <w:t>Within Kent</w:t>
      </w:r>
      <w:r w:rsidR="5EB9167D">
        <w:rPr>
          <w:rFonts w:ascii="Verdana" w:hAnsi="Verdana"/>
          <w:sz w:val="22"/>
          <w:szCs w:val="22"/>
        </w:rPr>
        <w:t xml:space="preserve"> in 2023 for 15-59 year olds</w:t>
      </w:r>
      <w:r w:rsidR="44EA1D57">
        <w:rPr>
          <w:rFonts w:ascii="Verdana" w:hAnsi="Verdana"/>
          <w:sz w:val="22"/>
          <w:szCs w:val="22"/>
        </w:rPr>
        <w:t xml:space="preserve">, </w:t>
      </w:r>
      <w:r w:rsidR="2A05DC32" w:rsidRPr="6B91972C">
        <w:rPr>
          <w:rFonts w:ascii="Verdana" w:hAnsi="Verdana"/>
          <w:sz w:val="22"/>
          <w:szCs w:val="22"/>
        </w:rPr>
        <w:t xml:space="preserve">Gravesham </w:t>
      </w:r>
      <w:r w:rsidRPr="6B91972C">
        <w:rPr>
          <w:rFonts w:ascii="Verdana" w:hAnsi="Verdana"/>
          <w:sz w:val="22"/>
          <w:szCs w:val="22"/>
        </w:rPr>
        <w:t>(2.</w:t>
      </w:r>
      <w:r w:rsidR="5EB9167D">
        <w:rPr>
          <w:rFonts w:ascii="Verdana" w:hAnsi="Verdana"/>
          <w:sz w:val="22"/>
          <w:szCs w:val="22"/>
        </w:rPr>
        <w:t>22</w:t>
      </w:r>
      <w:r w:rsidR="26532497" w:rsidRPr="6B91972C">
        <w:rPr>
          <w:rFonts w:ascii="Verdana" w:hAnsi="Verdana"/>
          <w:sz w:val="22"/>
          <w:szCs w:val="22"/>
        </w:rPr>
        <w:t xml:space="preserve"> per 1,000</w:t>
      </w:r>
      <w:r w:rsidRPr="6B91972C">
        <w:rPr>
          <w:rFonts w:ascii="Verdana" w:hAnsi="Verdana"/>
          <w:sz w:val="22"/>
          <w:szCs w:val="22"/>
        </w:rPr>
        <w:t xml:space="preserve">) and </w:t>
      </w:r>
      <w:r w:rsidR="5EB9167D">
        <w:rPr>
          <w:rFonts w:ascii="Verdana" w:hAnsi="Verdana"/>
          <w:sz w:val="22"/>
          <w:szCs w:val="22"/>
        </w:rPr>
        <w:t>Thanet</w:t>
      </w:r>
      <w:r w:rsidR="26532497" w:rsidRPr="6B91972C">
        <w:rPr>
          <w:rFonts w:ascii="Verdana" w:hAnsi="Verdana"/>
          <w:sz w:val="22"/>
          <w:szCs w:val="22"/>
        </w:rPr>
        <w:t xml:space="preserve"> (2.0</w:t>
      </w:r>
      <w:r w:rsidR="5EB9167D">
        <w:rPr>
          <w:rFonts w:ascii="Verdana" w:hAnsi="Verdana"/>
          <w:sz w:val="22"/>
          <w:szCs w:val="22"/>
        </w:rPr>
        <w:t>3</w:t>
      </w:r>
      <w:r w:rsidR="26532497" w:rsidRPr="6B91972C">
        <w:rPr>
          <w:rFonts w:ascii="Verdana" w:hAnsi="Verdana"/>
          <w:sz w:val="22"/>
          <w:szCs w:val="22"/>
        </w:rPr>
        <w:t xml:space="preserve"> per 1,000)</w:t>
      </w:r>
      <w:r w:rsidRPr="6B91972C">
        <w:rPr>
          <w:rFonts w:ascii="Verdana" w:hAnsi="Verdana"/>
          <w:sz w:val="22"/>
          <w:szCs w:val="22"/>
        </w:rPr>
        <w:t xml:space="preserve"> </w:t>
      </w:r>
      <w:r w:rsidR="2A05DC32" w:rsidRPr="6B91972C">
        <w:rPr>
          <w:rFonts w:ascii="Verdana" w:hAnsi="Verdana"/>
          <w:sz w:val="22"/>
          <w:szCs w:val="22"/>
        </w:rPr>
        <w:t>had the highest</w:t>
      </w:r>
      <w:r w:rsidR="4F0AD24D" w:rsidRPr="6B91972C">
        <w:rPr>
          <w:rFonts w:ascii="Verdana" w:hAnsi="Verdana"/>
          <w:sz w:val="22"/>
          <w:szCs w:val="22"/>
        </w:rPr>
        <w:t xml:space="preserve"> prevalence of</w:t>
      </w:r>
      <w:r w:rsidR="2A05DC32" w:rsidRPr="6B91972C">
        <w:rPr>
          <w:rFonts w:ascii="Verdana" w:hAnsi="Verdana"/>
          <w:sz w:val="22"/>
          <w:szCs w:val="22"/>
        </w:rPr>
        <w:t xml:space="preserve"> HIV diagnoses</w:t>
      </w:r>
      <w:r w:rsidR="4F0AD24D" w:rsidRPr="6B91972C">
        <w:rPr>
          <w:rFonts w:ascii="Verdana" w:hAnsi="Verdana"/>
          <w:sz w:val="22"/>
          <w:szCs w:val="22"/>
        </w:rPr>
        <w:t>, surpassing Kent and South East figures.</w:t>
      </w:r>
      <w:r w:rsidR="2A05DC32" w:rsidRPr="6B91972C">
        <w:rPr>
          <w:rFonts w:ascii="Verdana" w:hAnsi="Verdana"/>
          <w:sz w:val="22"/>
          <w:szCs w:val="22"/>
        </w:rPr>
        <w:t xml:space="preserve"> </w:t>
      </w:r>
      <w:r w:rsidR="68570E2A">
        <w:rPr>
          <w:rFonts w:ascii="Verdana" w:hAnsi="Verdana"/>
          <w:sz w:val="22"/>
          <w:szCs w:val="22"/>
        </w:rPr>
        <w:t xml:space="preserve">Thanet surpassing Dartford during 2023. This would also make them high prevalence areas. </w:t>
      </w:r>
      <w:r w:rsidR="2A05DC32" w:rsidRPr="6B91972C">
        <w:rPr>
          <w:rFonts w:ascii="Verdana" w:hAnsi="Verdana"/>
          <w:sz w:val="22"/>
          <w:szCs w:val="22"/>
        </w:rPr>
        <w:t>Tonbridge and Malling had the lowest (0.</w:t>
      </w:r>
      <w:r w:rsidR="68570E2A">
        <w:rPr>
          <w:rFonts w:ascii="Verdana" w:hAnsi="Verdana"/>
          <w:sz w:val="22"/>
          <w:szCs w:val="22"/>
        </w:rPr>
        <w:t>71</w:t>
      </w:r>
      <w:r w:rsidR="74E61A37" w:rsidRPr="6B91972C">
        <w:rPr>
          <w:rFonts w:ascii="Verdana" w:hAnsi="Verdana"/>
          <w:sz w:val="22"/>
          <w:szCs w:val="22"/>
        </w:rPr>
        <w:t xml:space="preserve"> </w:t>
      </w:r>
      <w:r w:rsidR="2A05DC32" w:rsidRPr="6B91972C">
        <w:rPr>
          <w:rFonts w:ascii="Verdana" w:hAnsi="Verdana"/>
          <w:sz w:val="22"/>
          <w:szCs w:val="22"/>
        </w:rPr>
        <w:t>per 1,000)</w:t>
      </w:r>
      <w:r w:rsidR="003F4EA7">
        <w:rPr>
          <w:rStyle w:val="FootnoteReference"/>
          <w:rFonts w:ascii="Verdana" w:hAnsi="Verdana"/>
          <w:sz w:val="22"/>
          <w:szCs w:val="22"/>
        </w:rPr>
        <w:footnoteReference w:id="92"/>
      </w:r>
      <w:r w:rsidR="2A05DC32" w:rsidRPr="6B91972C">
        <w:rPr>
          <w:rFonts w:ascii="Verdana" w:hAnsi="Verdana"/>
          <w:sz w:val="22"/>
          <w:szCs w:val="22"/>
        </w:rPr>
        <w:t>.</w:t>
      </w:r>
    </w:p>
    <w:p w14:paraId="745A10BB" w14:textId="77777777" w:rsidR="0050097F" w:rsidRPr="008D6AC4" w:rsidRDefault="1C078268" w:rsidP="009F2C10">
      <w:pPr>
        <w:jc w:val="both"/>
        <w:rPr>
          <w:rFonts w:ascii="Verdana" w:hAnsi="Verdana"/>
          <w:sz w:val="22"/>
          <w:szCs w:val="22"/>
        </w:rPr>
      </w:pPr>
      <w:r>
        <w:rPr>
          <w:rFonts w:ascii="Verdana" w:hAnsi="Verdana"/>
          <w:sz w:val="22"/>
          <w:szCs w:val="22"/>
        </w:rPr>
        <w:t>HIV testing is recommended for anyone who is sexually active. However, particular groups are recommended to receive regular testing; those who identify as GBMSM should test once every 3 months if having condomless sex and/or sex with new partners, and black African men and women are also advised to test regularly if they are having condomless sex and/or sex with new partners</w:t>
      </w:r>
      <w:r w:rsidR="0050097F">
        <w:rPr>
          <w:rStyle w:val="FootnoteReference"/>
          <w:rFonts w:ascii="Verdana" w:hAnsi="Verdana"/>
          <w:sz w:val="22"/>
          <w:szCs w:val="22"/>
        </w:rPr>
        <w:footnoteReference w:id="93"/>
      </w:r>
      <w:r>
        <w:rPr>
          <w:rFonts w:ascii="Verdana" w:hAnsi="Verdana"/>
          <w:sz w:val="22"/>
          <w:szCs w:val="22"/>
        </w:rPr>
        <w:t xml:space="preserve">. </w:t>
      </w:r>
    </w:p>
    <w:p w14:paraId="3E40DCF4" w14:textId="77777777" w:rsidR="009F2C10" w:rsidRPr="008D6AC4" w:rsidRDefault="00B6082D" w:rsidP="009F2C10">
      <w:pPr>
        <w:jc w:val="both"/>
        <w:rPr>
          <w:rFonts w:ascii="Verdana" w:hAnsi="Verdana"/>
          <w:sz w:val="22"/>
          <w:szCs w:val="22"/>
        </w:rPr>
      </w:pPr>
      <w:r w:rsidRPr="6B91972C">
        <w:rPr>
          <w:rFonts w:ascii="Verdana" w:hAnsi="Verdana"/>
          <w:sz w:val="22"/>
          <w:szCs w:val="22"/>
        </w:rPr>
        <w:t>T</w:t>
      </w:r>
      <w:r w:rsidR="009F2C10" w:rsidRPr="6B91972C">
        <w:rPr>
          <w:rFonts w:ascii="Verdana" w:hAnsi="Verdana"/>
          <w:sz w:val="22"/>
          <w:szCs w:val="22"/>
        </w:rPr>
        <w:t xml:space="preserve">he HIV testing coverage has been decreasing in recent years, particularly amongst gay and bisexual men who have sex with men (GBMSM) and women. In 2022 the testing coverage in Kent for GBMSM was 51.9%, compared to 82.6% in 2018. Kent has the lowest coverage in the South East, with the South East testing coverage at 71.0% for 2022 and the England coverage at 74.1%. The coverage was 27.9% for women in Kent in 2022 compared to 40.7% in the South East and 38.5% nationally. This has fallen from 66.7% in Kent in 2019. </w:t>
      </w:r>
    </w:p>
    <w:p w14:paraId="596962C4" w14:textId="77777777" w:rsidR="003F4EA7" w:rsidRDefault="009F2C10" w:rsidP="009F2C10">
      <w:pPr>
        <w:jc w:val="both"/>
        <w:rPr>
          <w:rFonts w:ascii="Verdana" w:hAnsi="Verdana"/>
          <w:sz w:val="22"/>
          <w:szCs w:val="22"/>
        </w:rPr>
      </w:pPr>
      <w:r w:rsidRPr="008D6AC4">
        <w:rPr>
          <w:rFonts w:ascii="Verdana" w:hAnsi="Verdana"/>
          <w:sz w:val="22"/>
          <w:szCs w:val="22"/>
        </w:rPr>
        <w:t>The low HIV testing coverage in Kent can be partially explained by issues with the data, given that results from online HIV tests in Kent are not reported here.</w:t>
      </w:r>
      <w:r w:rsidR="003F4EA7">
        <w:rPr>
          <w:rFonts w:ascii="Verdana" w:hAnsi="Verdana"/>
          <w:sz w:val="22"/>
          <w:szCs w:val="22"/>
        </w:rPr>
        <w:t xml:space="preserve"> From the data currently available to KCC, it is possible to approximate that 26% </w:t>
      </w:r>
      <w:r w:rsidR="003F4EA7">
        <w:rPr>
          <w:rFonts w:ascii="Verdana" w:hAnsi="Verdana"/>
          <w:sz w:val="22"/>
          <w:szCs w:val="22"/>
        </w:rPr>
        <w:lastRenderedPageBreak/>
        <w:t xml:space="preserve">of tests are completed locally in ISHS clinics, meaning the majority of tests are likely to be via online testing, or alternative provisions such as maternity services.  </w:t>
      </w:r>
    </w:p>
    <w:p w14:paraId="3AFEE926" w14:textId="77777777" w:rsidR="009F2C10" w:rsidRPr="008D6AC4" w:rsidRDefault="003F4EA7" w:rsidP="009F2C10">
      <w:pPr>
        <w:jc w:val="both"/>
        <w:rPr>
          <w:rFonts w:ascii="Verdana" w:hAnsi="Verdana"/>
          <w:sz w:val="22"/>
          <w:szCs w:val="22"/>
        </w:rPr>
      </w:pPr>
      <w:r>
        <w:rPr>
          <w:rFonts w:ascii="Verdana" w:hAnsi="Verdana"/>
          <w:sz w:val="22"/>
          <w:szCs w:val="22"/>
        </w:rPr>
        <w:t>Overall</w:t>
      </w:r>
      <w:r w:rsidR="009F2C10" w:rsidRPr="008D6AC4">
        <w:rPr>
          <w:rFonts w:ascii="Verdana" w:hAnsi="Verdana"/>
          <w:sz w:val="22"/>
          <w:szCs w:val="22"/>
        </w:rPr>
        <w:t>, there remains a</w:t>
      </w:r>
      <w:r w:rsidR="009F2C10" w:rsidRPr="008D6AC4">
        <w:rPr>
          <w:rFonts w:ascii="Verdana" w:eastAsia="Calibri" w:hAnsi="Verdana" w:cs="Calibri"/>
          <w:color w:val="000000" w:themeColor="text1"/>
          <w:sz w:val="22"/>
          <w:szCs w:val="22"/>
        </w:rPr>
        <w:t xml:space="preserve"> need to increase testing in Kent, without which it is unclear how accurately the HIV diagnosis rate reflects the true population diagnoses.</w:t>
      </w:r>
      <w:r>
        <w:rPr>
          <w:rFonts w:ascii="Verdana" w:eastAsia="Calibri" w:hAnsi="Verdana" w:cs="Calibri"/>
          <w:color w:val="000000" w:themeColor="text1"/>
          <w:sz w:val="22"/>
          <w:szCs w:val="22"/>
        </w:rPr>
        <w:t xml:space="preserve"> Alongside this recommendation, it is proposed that a deep dive into HIV is conducted ahead of plans for a renewed HIV action plan for the UK in 2025. </w:t>
      </w:r>
    </w:p>
    <w:p w14:paraId="60431884" w14:textId="77777777" w:rsidR="009F2C10" w:rsidRPr="0089791B" w:rsidRDefault="43F8F035" w:rsidP="49636075">
      <w:pPr>
        <w:pStyle w:val="Heading2"/>
        <w:numPr>
          <w:ilvl w:val="0"/>
          <w:numId w:val="0"/>
        </w:numPr>
        <w:rPr>
          <w:rFonts w:ascii="Verdana" w:eastAsia="Verdana" w:hAnsi="Verdana" w:cs="Verdana"/>
          <w:sz w:val="24"/>
          <w:szCs w:val="24"/>
        </w:rPr>
      </w:pPr>
      <w:bookmarkStart w:id="40" w:name="_Toc928359627"/>
      <w:r w:rsidRPr="136F3BEB">
        <w:rPr>
          <w:rFonts w:ascii="Verdana" w:hAnsi="Verdana"/>
          <w:sz w:val="24"/>
          <w:szCs w:val="24"/>
        </w:rPr>
        <w:t xml:space="preserve">4.3 </w:t>
      </w:r>
      <w:r w:rsidR="61581207" w:rsidRPr="136F3BEB">
        <w:rPr>
          <w:rFonts w:ascii="Verdana" w:eastAsia="Verdana" w:hAnsi="Verdana" w:cs="Verdana"/>
          <w:sz w:val="24"/>
          <w:szCs w:val="24"/>
        </w:rPr>
        <w:t>Use of Long-Acting Reversible Contraception (LARC)</w:t>
      </w:r>
      <w:bookmarkEnd w:id="40"/>
    </w:p>
    <w:p w14:paraId="09106543" w14:textId="77777777" w:rsidR="009F2C10" w:rsidRPr="008D6AC4" w:rsidRDefault="009F2C10" w:rsidP="009F2C10">
      <w:pPr>
        <w:spacing w:after="200"/>
        <w:jc w:val="both"/>
        <w:rPr>
          <w:rFonts w:ascii="Verdana" w:hAnsi="Verdana"/>
          <w:color w:val="000000" w:themeColor="text1"/>
          <w:sz w:val="22"/>
          <w:szCs w:val="22"/>
        </w:rPr>
      </w:pPr>
      <w:r w:rsidRPr="008D6AC4">
        <w:rPr>
          <w:rFonts w:ascii="Verdana" w:hAnsi="Verdana"/>
          <w:color w:val="000000" w:themeColor="text1"/>
          <w:sz w:val="22"/>
          <w:szCs w:val="22"/>
        </w:rPr>
        <w:t>The total prescribed LARC (excluding injections) rate, which includes LARC prescribed in both general practice and sexual health services, per 1,000 in Kent was 44.6 in 2022, compared to 48.4 in 2018. This is slightly above the England rate of 44.1 in 2022. Total prescribed LARC decreased during the pandemic and has not yet returned to the pre-pandemic level.</w:t>
      </w:r>
    </w:p>
    <w:p w14:paraId="55095EA1" w14:textId="77777777" w:rsidR="009F2C10" w:rsidRPr="008D6AC4" w:rsidRDefault="009F2C10" w:rsidP="009F2C10">
      <w:pPr>
        <w:spacing w:after="200"/>
        <w:jc w:val="both"/>
        <w:rPr>
          <w:rFonts w:ascii="Verdana" w:hAnsi="Verdana"/>
          <w:sz w:val="22"/>
          <w:szCs w:val="22"/>
        </w:rPr>
      </w:pPr>
      <w:r w:rsidRPr="008D6AC4">
        <w:rPr>
          <w:rFonts w:ascii="Verdana" w:hAnsi="Verdana"/>
          <w:sz w:val="22"/>
          <w:szCs w:val="22"/>
        </w:rPr>
        <w:t xml:space="preserve">Within sexual health services only, the proportion of women under the age of 25 who chose to use LARCs (excluding injections) as their preferred method of contraception in 2022 was 32.7% compared to 33.6% in 2021. The proportion in Kent is lower than the South East (35.8% in 2022 and 38.7% 2021) and England (36.2% in 2022, 37.3% in 2021). For women over the age of 25, the proportion was 50.6% (52.6% in 2021) in Kent compared to 51.3% in the South East (54.9% in 2021) and 53.2% nationally (53.4% in 2021).  </w:t>
      </w:r>
    </w:p>
    <w:p w14:paraId="63803588" w14:textId="77777777" w:rsidR="009F2C10" w:rsidRPr="008D6AC4" w:rsidRDefault="2398A52E" w:rsidP="136F3BEB">
      <w:pPr>
        <w:spacing w:after="200"/>
        <w:jc w:val="both"/>
        <w:rPr>
          <w:rFonts w:ascii="Verdana" w:hAnsi="Verdana"/>
          <w:b/>
          <w:bCs/>
          <w:sz w:val="22"/>
          <w:szCs w:val="22"/>
        </w:rPr>
      </w:pPr>
      <w:r w:rsidRPr="008D6AC4">
        <w:rPr>
          <w:rFonts w:ascii="Verdana" w:hAnsi="Verdana"/>
          <w:sz w:val="22"/>
          <w:szCs w:val="22"/>
        </w:rPr>
        <w:t>The use of short-acting combined oral contraceptive rates in both Kent and nationally have also not returned to pre-pandemic rates and have been steadily declining</w:t>
      </w:r>
      <w:r w:rsidR="009F2C10" w:rsidRPr="008D6AC4">
        <w:rPr>
          <w:rStyle w:val="FootnoteReference"/>
          <w:rFonts w:ascii="Verdana" w:hAnsi="Verdana"/>
          <w:sz w:val="22"/>
          <w:szCs w:val="22"/>
        </w:rPr>
        <w:footnoteReference w:id="94"/>
      </w:r>
      <w:r w:rsidR="5A5540D4" w:rsidRPr="008D6AC4">
        <w:rPr>
          <w:rFonts w:ascii="Verdana" w:hAnsi="Verdana"/>
          <w:sz w:val="22"/>
          <w:szCs w:val="22"/>
        </w:rPr>
        <w:t xml:space="preserve"> (</w:t>
      </w:r>
      <w:r w:rsidR="5A5540D4" w:rsidRPr="136F3BEB">
        <w:rPr>
          <w:rFonts w:ascii="Verdana" w:hAnsi="Verdana"/>
          <w:b/>
          <w:bCs/>
          <w:sz w:val="22"/>
          <w:szCs w:val="22"/>
        </w:rPr>
        <w:t>Figure 1</w:t>
      </w:r>
      <w:r w:rsidR="26B5BE7D" w:rsidRPr="136F3BEB">
        <w:rPr>
          <w:rFonts w:ascii="Verdana" w:hAnsi="Verdana"/>
          <w:b/>
          <w:bCs/>
          <w:sz w:val="22"/>
          <w:szCs w:val="22"/>
        </w:rPr>
        <w:t>2</w:t>
      </w:r>
      <w:r w:rsidR="5A5540D4" w:rsidRPr="008D6AC4">
        <w:rPr>
          <w:rFonts w:ascii="Verdana" w:hAnsi="Verdana"/>
          <w:sz w:val="22"/>
          <w:szCs w:val="22"/>
        </w:rPr>
        <w:t>)</w:t>
      </w:r>
      <w:r w:rsidRPr="008D6AC4">
        <w:rPr>
          <w:rFonts w:ascii="Verdana" w:hAnsi="Verdana"/>
          <w:sz w:val="22"/>
          <w:szCs w:val="22"/>
        </w:rPr>
        <w:t xml:space="preserve">. This trend in use of both short and long-acting contraception should be monitored, given the possible impact on unplanned pregnancy. </w:t>
      </w:r>
      <w:r w:rsidR="0D3F6873">
        <w:rPr>
          <w:rFonts w:ascii="Verdana" w:hAnsi="Verdana"/>
          <w:sz w:val="22"/>
          <w:szCs w:val="22"/>
        </w:rPr>
        <w:t xml:space="preserve">It is possible there is a cultural element to this (for example, could reflect changing attitudes to child-bearing or use of contraception). Building greater </w:t>
      </w:r>
      <w:r w:rsidR="7041C47A">
        <w:rPr>
          <w:rFonts w:ascii="Verdana" w:hAnsi="Verdana"/>
          <w:sz w:val="22"/>
          <w:szCs w:val="22"/>
        </w:rPr>
        <w:t>awareness</w:t>
      </w:r>
      <w:r w:rsidR="0D3F6873">
        <w:rPr>
          <w:rFonts w:ascii="Verdana" w:hAnsi="Verdana"/>
          <w:sz w:val="22"/>
          <w:szCs w:val="22"/>
        </w:rPr>
        <w:t xml:space="preserve"> of local cultures and its </w:t>
      </w:r>
      <w:r w:rsidR="7041C47A">
        <w:rPr>
          <w:rFonts w:ascii="Verdana" w:hAnsi="Verdana"/>
          <w:sz w:val="22"/>
          <w:szCs w:val="22"/>
        </w:rPr>
        <w:t>link to</w:t>
      </w:r>
      <w:r w:rsidR="0D3F6873">
        <w:rPr>
          <w:rFonts w:ascii="Verdana" w:hAnsi="Verdana"/>
          <w:sz w:val="22"/>
          <w:szCs w:val="22"/>
        </w:rPr>
        <w:t xml:space="preserve"> sexual health should be part of next steps for this work. </w:t>
      </w:r>
    </w:p>
    <w:p w14:paraId="48928397" w14:textId="77777777" w:rsidR="009F2C10" w:rsidRPr="008D6AC4" w:rsidRDefault="009F2C10" w:rsidP="136F3BEB">
      <w:pPr>
        <w:spacing w:after="200"/>
        <w:jc w:val="both"/>
        <w:rPr>
          <w:rFonts w:ascii="Verdana" w:hAnsi="Verdana"/>
          <w:b/>
          <w:bCs/>
          <w:sz w:val="22"/>
          <w:szCs w:val="22"/>
        </w:rPr>
      </w:pPr>
    </w:p>
    <w:p w14:paraId="37CF01E3" w14:textId="77777777" w:rsidR="009F2C10" w:rsidRPr="008D6AC4" w:rsidRDefault="009F2C10" w:rsidP="136F3BEB">
      <w:pPr>
        <w:spacing w:after="200"/>
        <w:jc w:val="both"/>
        <w:rPr>
          <w:rFonts w:ascii="Verdana" w:hAnsi="Verdana"/>
          <w:b/>
          <w:bCs/>
          <w:sz w:val="22"/>
          <w:szCs w:val="22"/>
        </w:rPr>
      </w:pPr>
    </w:p>
    <w:p w14:paraId="1B8826A0" w14:textId="77777777" w:rsidR="009F2C10" w:rsidRPr="008D6AC4" w:rsidRDefault="009F2C10" w:rsidP="136F3BEB">
      <w:pPr>
        <w:spacing w:after="200"/>
        <w:jc w:val="both"/>
        <w:rPr>
          <w:rFonts w:ascii="Verdana" w:hAnsi="Verdana"/>
          <w:b/>
          <w:bCs/>
          <w:sz w:val="22"/>
          <w:szCs w:val="22"/>
        </w:rPr>
      </w:pPr>
    </w:p>
    <w:p w14:paraId="513E94B3" w14:textId="77777777" w:rsidR="009F2C10" w:rsidRPr="008D6AC4" w:rsidRDefault="009F2C10" w:rsidP="136F3BEB">
      <w:pPr>
        <w:spacing w:after="200"/>
        <w:jc w:val="both"/>
        <w:rPr>
          <w:rFonts w:ascii="Verdana" w:hAnsi="Verdana"/>
          <w:b/>
          <w:bCs/>
          <w:sz w:val="22"/>
          <w:szCs w:val="22"/>
        </w:rPr>
      </w:pPr>
    </w:p>
    <w:p w14:paraId="68DB894A" w14:textId="77777777" w:rsidR="009F2C10" w:rsidRPr="008D6AC4" w:rsidRDefault="009F2C10" w:rsidP="4A0F6D8A">
      <w:pPr>
        <w:spacing w:after="200"/>
        <w:jc w:val="both"/>
        <w:rPr>
          <w:rFonts w:ascii="Verdana" w:hAnsi="Verdana"/>
          <w:b/>
          <w:bCs/>
          <w:sz w:val="22"/>
          <w:szCs w:val="22"/>
        </w:rPr>
      </w:pPr>
    </w:p>
    <w:p w14:paraId="492EDC29" w14:textId="79F83959" w:rsidR="009F2C10" w:rsidRPr="008D6AC4" w:rsidRDefault="736E14E8" w:rsidP="136F3BEB">
      <w:pPr>
        <w:spacing w:after="200"/>
        <w:jc w:val="both"/>
        <w:rPr>
          <w:rFonts w:ascii="Verdana" w:hAnsi="Verdana"/>
          <w:b/>
          <w:bCs/>
          <w:sz w:val="22"/>
          <w:szCs w:val="22"/>
        </w:rPr>
      </w:pPr>
      <w:r w:rsidRPr="008D6AC4">
        <w:rPr>
          <w:rFonts w:ascii="Verdana" w:hAnsi="Verdana"/>
          <w:b/>
          <w:bCs/>
          <w:sz w:val="22"/>
          <w:szCs w:val="22"/>
        </w:rPr>
        <w:t xml:space="preserve">    </w:t>
      </w:r>
    </w:p>
    <w:p w14:paraId="25C0E989" w14:textId="77777777" w:rsidR="009F2C10" w:rsidRDefault="140D6191" w:rsidP="4A0F6D8A">
      <w:pPr>
        <w:spacing w:after="200"/>
        <w:jc w:val="both"/>
        <w:rPr>
          <w:rFonts w:ascii="Verdana" w:hAnsi="Verdana"/>
          <w:b/>
          <w:bCs/>
          <w:sz w:val="22"/>
          <w:szCs w:val="22"/>
        </w:rPr>
      </w:pPr>
      <w:r w:rsidRPr="008D6AC4">
        <w:rPr>
          <w:rFonts w:ascii="Verdana" w:hAnsi="Verdana"/>
          <w:b/>
          <w:bCs/>
          <w:sz w:val="22"/>
          <w:szCs w:val="22"/>
        </w:rPr>
        <w:lastRenderedPageBreak/>
        <w:t>Figure</w:t>
      </w:r>
      <w:r w:rsidR="2B0DFB5D">
        <w:rPr>
          <w:rFonts w:ascii="Verdana" w:hAnsi="Verdana"/>
          <w:b/>
          <w:bCs/>
          <w:sz w:val="22"/>
          <w:szCs w:val="22"/>
        </w:rPr>
        <w:t xml:space="preserve"> </w:t>
      </w:r>
      <w:r w:rsidRPr="008D6AC4">
        <w:rPr>
          <w:rFonts w:ascii="Verdana" w:hAnsi="Verdana"/>
          <w:b/>
          <w:bCs/>
          <w:sz w:val="22"/>
          <w:szCs w:val="22"/>
        </w:rPr>
        <w:t>1</w:t>
      </w:r>
      <w:r w:rsidR="04654217" w:rsidRPr="008D6AC4">
        <w:rPr>
          <w:rFonts w:ascii="Verdana" w:hAnsi="Verdana"/>
          <w:b/>
          <w:bCs/>
          <w:sz w:val="22"/>
          <w:szCs w:val="22"/>
        </w:rPr>
        <w:t>2</w:t>
      </w:r>
      <w:r w:rsidRPr="008D6AC4">
        <w:rPr>
          <w:rFonts w:ascii="Verdana" w:hAnsi="Verdana"/>
          <w:b/>
          <w:bCs/>
          <w:sz w:val="22"/>
          <w:szCs w:val="22"/>
        </w:rPr>
        <w:t xml:space="preserve">: Women prescribed short acting combined hormonal contraception in GP practices between 2018 and 2022, </w:t>
      </w:r>
      <w:r w:rsidR="7B84D839">
        <w:rPr>
          <w:rFonts w:ascii="Verdana" w:hAnsi="Verdana"/>
          <w:b/>
          <w:bCs/>
          <w:sz w:val="22"/>
          <w:szCs w:val="22"/>
        </w:rPr>
        <w:t xml:space="preserve">crude </w:t>
      </w:r>
      <w:r w:rsidRPr="008D6AC4">
        <w:rPr>
          <w:rFonts w:ascii="Verdana" w:hAnsi="Verdana"/>
          <w:b/>
          <w:bCs/>
          <w:sz w:val="22"/>
          <w:szCs w:val="22"/>
        </w:rPr>
        <w:t>rate per 1,000</w:t>
      </w:r>
      <w:r w:rsidR="7FF26C58">
        <w:rPr>
          <w:rFonts w:ascii="Verdana" w:hAnsi="Verdana"/>
          <w:b/>
          <w:bCs/>
          <w:sz w:val="22"/>
          <w:szCs w:val="22"/>
        </w:rPr>
        <w:t>, all ages</w:t>
      </w:r>
    </w:p>
    <w:p w14:paraId="6842918F" w14:textId="65C65C7C" w:rsidR="00083278" w:rsidRPr="008D6AC4" w:rsidRDefault="00083278" w:rsidP="4A0F6D8A">
      <w:pPr>
        <w:spacing w:after="200"/>
        <w:jc w:val="both"/>
        <w:rPr>
          <w:rFonts w:ascii="Verdana" w:hAnsi="Verdana"/>
          <w:b/>
          <w:bCs/>
          <w:sz w:val="22"/>
          <w:szCs w:val="22"/>
        </w:rPr>
      </w:pPr>
      <w:r w:rsidRPr="008D6AC4">
        <w:rPr>
          <w:rFonts w:ascii="Verdana" w:hAnsi="Verdana"/>
          <w:noProof/>
          <w:color w:val="2B579A"/>
          <w:sz w:val="22"/>
          <w:szCs w:val="22"/>
          <w:shd w:val="clear" w:color="auto" w:fill="E6E6E6"/>
        </w:rPr>
        <w:drawing>
          <wp:inline distT="0" distB="0" distL="0" distR="0" wp14:anchorId="05D6E814" wp14:editId="553DB4BD">
            <wp:extent cx="4991456" cy="3531419"/>
            <wp:effectExtent l="0" t="0" r="0" b="0"/>
            <wp:docPr id="342857740" name="Picture 7" descr="A line chart showing the rate of women prescribed short acting combined hormonal contraception in GP practices in Kent and England between 2018 to 2022. rates are falling in both England and Kent although Kent rates are higher than Eng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9">
                      <a:extLst>
                        <a:ext uri="{28A0092B-C50C-407E-A947-70E740481C1C}">
                          <a14:useLocalDpi xmlns:a14="http://schemas.microsoft.com/office/drawing/2010/main" val="0"/>
                        </a:ext>
                      </a:extLst>
                    </a:blip>
                    <a:srcRect t="4593" b="2773"/>
                    <a:stretch>
                      <a:fillRect/>
                    </a:stretch>
                  </pic:blipFill>
                  <pic:spPr bwMode="auto">
                    <a:xfrm>
                      <a:off x="0" y="0"/>
                      <a:ext cx="4991456" cy="3531419"/>
                    </a:xfrm>
                    <a:prstGeom prst="rect">
                      <a:avLst/>
                    </a:prstGeom>
                    <a:noFill/>
                    <a:ln>
                      <a:noFill/>
                    </a:ln>
                    <a:extLst>
                      <a:ext uri="{53640926-AAD7-44D8-BBD7-CCE9431645EC}">
                        <a14:shadowObscured xmlns:a14="http://schemas.microsoft.com/office/drawing/2010/main"/>
                      </a:ext>
                    </a:extLst>
                  </pic:spPr>
                </pic:pic>
              </a:graphicData>
            </a:graphic>
          </wp:inline>
        </w:drawing>
      </w:r>
    </w:p>
    <w:p w14:paraId="74CC0209" w14:textId="77777777" w:rsidR="009F2C10" w:rsidRPr="0089791B" w:rsidRDefault="1423AC0E" w:rsidP="49636075">
      <w:pPr>
        <w:pStyle w:val="Heading2"/>
        <w:numPr>
          <w:ilvl w:val="0"/>
          <w:numId w:val="0"/>
        </w:numPr>
        <w:rPr>
          <w:rFonts w:ascii="Verdana" w:eastAsia="Verdana" w:hAnsi="Verdana" w:cs="Verdana"/>
          <w:sz w:val="24"/>
          <w:szCs w:val="24"/>
        </w:rPr>
      </w:pPr>
      <w:bookmarkStart w:id="41" w:name="_Toc113529450"/>
      <w:r w:rsidRPr="136F3BEB">
        <w:rPr>
          <w:rFonts w:ascii="Verdana" w:hAnsi="Verdana"/>
          <w:sz w:val="24"/>
          <w:szCs w:val="24"/>
        </w:rPr>
        <w:t xml:space="preserve">4.4 </w:t>
      </w:r>
      <w:r w:rsidR="61581207" w:rsidRPr="136F3BEB">
        <w:rPr>
          <w:rFonts w:ascii="Verdana" w:eastAsia="Verdana" w:hAnsi="Verdana" w:cs="Verdana"/>
          <w:sz w:val="24"/>
          <w:szCs w:val="24"/>
        </w:rPr>
        <w:t>Under 18 Conceptions</w:t>
      </w:r>
      <w:bookmarkEnd w:id="41"/>
    </w:p>
    <w:p w14:paraId="5177083B" w14:textId="77777777" w:rsidR="009F2C10" w:rsidRPr="008D6AC4" w:rsidRDefault="009F2C10" w:rsidP="009F2C10">
      <w:pPr>
        <w:spacing w:after="200"/>
        <w:jc w:val="both"/>
        <w:rPr>
          <w:rFonts w:ascii="Verdana" w:hAnsi="Verdana"/>
          <w:color w:val="000000" w:themeColor="text1"/>
          <w:sz w:val="22"/>
          <w:szCs w:val="22"/>
        </w:rPr>
      </w:pPr>
      <w:r w:rsidRPr="6B91972C">
        <w:rPr>
          <w:rFonts w:ascii="Verdana" w:hAnsi="Verdana"/>
          <w:color w:val="000000" w:themeColor="text1"/>
          <w:sz w:val="22"/>
          <w:szCs w:val="22"/>
        </w:rPr>
        <w:t>The conception rate for women under the age of 18 is high in Kent compared to other areas in the South East</w:t>
      </w:r>
      <w:r w:rsidR="079AC153" w:rsidRPr="6B91972C">
        <w:rPr>
          <w:rFonts w:ascii="Verdana" w:hAnsi="Verdana"/>
          <w:color w:val="000000" w:themeColor="text1"/>
          <w:sz w:val="22"/>
          <w:szCs w:val="22"/>
        </w:rPr>
        <w:t xml:space="preserve">, and since 2018 has been higher than the England average. </w:t>
      </w:r>
    </w:p>
    <w:p w14:paraId="5E83AE1A" w14:textId="77777777" w:rsidR="009F2C10" w:rsidRPr="008D6AC4" w:rsidRDefault="622CD0EA" w:rsidP="136F3BEB">
      <w:pPr>
        <w:spacing w:after="200"/>
        <w:jc w:val="both"/>
        <w:rPr>
          <w:rFonts w:ascii="Verdana" w:hAnsi="Verdana"/>
          <w:color w:val="000000" w:themeColor="text1"/>
          <w:sz w:val="22"/>
          <w:szCs w:val="22"/>
        </w:rPr>
      </w:pPr>
      <w:r w:rsidRPr="136F3BEB">
        <w:rPr>
          <w:rFonts w:ascii="Verdana" w:hAnsi="Verdana"/>
          <w:color w:val="000000" w:themeColor="text1"/>
          <w:sz w:val="22"/>
          <w:szCs w:val="22"/>
        </w:rPr>
        <w:t>In 2021, the under 18s conception rate in Kent was 13.9 per 1,000, 10.7 in South East and 13.1 in England. Thanet had the highest conception rate in the South East with a rate of 22.5 per 1,000. Rates were also high in Swale (20.1 per 1,000), Dover (17.6 per 1,000), Ashford (17.1 per 1,000) and Maidstone (16.8 per 1,000).</w:t>
      </w:r>
      <w:r w:rsidR="02B97010" w:rsidRPr="136F3BEB">
        <w:rPr>
          <w:rFonts w:ascii="Verdana" w:hAnsi="Verdana"/>
          <w:color w:val="000000" w:themeColor="text1"/>
          <w:sz w:val="22"/>
          <w:szCs w:val="22"/>
        </w:rPr>
        <w:t xml:space="preserve"> The under 18s birth rate for 2022, was highest in Thanet (17.2 per 1,000) and Ashford (6.4 per 1,000) compared to the Kent average of 3.1 per 1,000 and England average of 3.4 per 1,000</w:t>
      </w:r>
      <w:r w:rsidR="662D741D" w:rsidRPr="136F3BEB">
        <w:rPr>
          <w:rFonts w:ascii="Verdana" w:hAnsi="Verdana"/>
          <w:color w:val="000000" w:themeColor="text1"/>
          <w:sz w:val="22"/>
          <w:szCs w:val="22"/>
        </w:rPr>
        <w:t xml:space="preserve"> (</w:t>
      </w:r>
      <w:r w:rsidR="662D741D" w:rsidRPr="136F3BEB">
        <w:rPr>
          <w:rFonts w:ascii="Verdana" w:hAnsi="Verdana"/>
          <w:b/>
          <w:bCs/>
          <w:color w:val="000000" w:themeColor="text1"/>
          <w:sz w:val="22"/>
          <w:szCs w:val="22"/>
        </w:rPr>
        <w:t>Figure 1</w:t>
      </w:r>
      <w:r w:rsidR="0ADCC948" w:rsidRPr="136F3BEB">
        <w:rPr>
          <w:rFonts w:ascii="Verdana" w:hAnsi="Verdana"/>
          <w:b/>
          <w:bCs/>
          <w:color w:val="000000" w:themeColor="text1"/>
          <w:sz w:val="22"/>
          <w:szCs w:val="22"/>
        </w:rPr>
        <w:t>3</w:t>
      </w:r>
      <w:r w:rsidR="662D741D" w:rsidRPr="136F3BEB">
        <w:rPr>
          <w:rFonts w:ascii="Verdana" w:hAnsi="Verdana"/>
          <w:color w:val="000000" w:themeColor="text1"/>
          <w:sz w:val="22"/>
          <w:szCs w:val="22"/>
        </w:rPr>
        <w:t>)</w:t>
      </w:r>
    </w:p>
    <w:p w14:paraId="7CBB0025" w14:textId="142861D2" w:rsidR="00121328" w:rsidRDefault="73BAC3C0" w:rsidP="00C579B7">
      <w:pPr>
        <w:spacing w:after="200"/>
        <w:jc w:val="both"/>
        <w:rPr>
          <w:rFonts w:ascii="Verdana" w:hAnsi="Verdana"/>
          <w:color w:val="000000" w:themeColor="text1"/>
          <w:sz w:val="22"/>
          <w:szCs w:val="22"/>
        </w:rPr>
      </w:pPr>
      <w:r w:rsidRPr="6B91972C">
        <w:rPr>
          <w:rFonts w:ascii="Verdana" w:hAnsi="Verdana"/>
          <w:color w:val="000000" w:themeColor="text1"/>
          <w:sz w:val="22"/>
          <w:szCs w:val="22"/>
        </w:rPr>
        <w:t xml:space="preserve">2021 is currently the most up to date data available. It will be key to </w:t>
      </w:r>
      <w:r w:rsidR="5F3E9AC1" w:rsidRPr="6B91972C">
        <w:rPr>
          <w:rFonts w:ascii="Verdana" w:hAnsi="Verdana"/>
          <w:color w:val="000000" w:themeColor="text1"/>
          <w:sz w:val="22"/>
          <w:szCs w:val="22"/>
        </w:rPr>
        <w:t xml:space="preserve">continue to review the data as more is released from the UKHSA team. </w:t>
      </w:r>
    </w:p>
    <w:p w14:paraId="6C3D7281" w14:textId="77777777" w:rsidR="00121328" w:rsidRDefault="00121328">
      <w:pPr>
        <w:spacing w:before="0" w:after="200"/>
        <w:rPr>
          <w:rFonts w:ascii="Verdana" w:hAnsi="Verdana"/>
          <w:color w:val="000000" w:themeColor="text1"/>
          <w:sz w:val="22"/>
          <w:szCs w:val="22"/>
        </w:rPr>
      </w:pPr>
      <w:r>
        <w:rPr>
          <w:rFonts w:ascii="Verdana" w:hAnsi="Verdana"/>
          <w:color w:val="000000" w:themeColor="text1"/>
          <w:sz w:val="22"/>
          <w:szCs w:val="22"/>
        </w:rPr>
        <w:br w:type="page"/>
      </w:r>
    </w:p>
    <w:p w14:paraId="6D73F26E" w14:textId="77777777" w:rsidR="6B91972C" w:rsidRDefault="6B91972C" w:rsidP="00C579B7">
      <w:pPr>
        <w:spacing w:after="200"/>
        <w:jc w:val="both"/>
        <w:rPr>
          <w:rFonts w:ascii="Verdana" w:hAnsi="Verdana"/>
          <w:color w:val="000000" w:themeColor="text1"/>
          <w:sz w:val="22"/>
          <w:szCs w:val="22"/>
        </w:rPr>
      </w:pPr>
    </w:p>
    <w:p w14:paraId="2D019071" w14:textId="77777777" w:rsidR="00C579B7" w:rsidRPr="00C579B7" w:rsidRDefault="00C579B7" w:rsidP="00C579B7">
      <w:pPr>
        <w:spacing w:after="200"/>
        <w:jc w:val="both"/>
        <w:rPr>
          <w:rFonts w:ascii="Verdana" w:hAnsi="Verdana"/>
          <w:b/>
          <w:bCs/>
          <w:color w:val="000000" w:themeColor="text1"/>
          <w:sz w:val="22"/>
          <w:szCs w:val="22"/>
        </w:rPr>
      </w:pPr>
      <w:r w:rsidRPr="00C579B7">
        <w:rPr>
          <w:rFonts w:ascii="Verdana" w:hAnsi="Verdana"/>
          <w:b/>
          <w:bCs/>
          <w:color w:val="000000" w:themeColor="text1"/>
          <w:sz w:val="22"/>
          <w:szCs w:val="22"/>
        </w:rPr>
        <w:t xml:space="preserve">Figure 12: </w:t>
      </w:r>
      <w:r>
        <w:rPr>
          <w:rFonts w:ascii="Verdana" w:hAnsi="Verdana"/>
          <w:b/>
          <w:bCs/>
          <w:color w:val="000000" w:themeColor="text1"/>
          <w:sz w:val="22"/>
          <w:szCs w:val="22"/>
        </w:rPr>
        <w:t>Under 18 conception rate per 1000, 2017 to 2021</w:t>
      </w:r>
    </w:p>
    <w:p w14:paraId="300F026A" w14:textId="77777777" w:rsidR="60A032D8" w:rsidRDefault="00C579B7" w:rsidP="0089791B">
      <w:pPr>
        <w:spacing w:after="200"/>
        <w:jc w:val="center"/>
      </w:pPr>
      <w:r>
        <w:rPr>
          <w:noProof/>
        </w:rPr>
        <w:drawing>
          <wp:inline distT="0" distB="0" distL="0" distR="0" wp14:anchorId="79A6520F" wp14:editId="3784419B">
            <wp:extent cx="4572000" cy="2701636"/>
            <wp:effectExtent l="0" t="0" r="0" b="3810"/>
            <wp:docPr id="1354816071" name="Chart 1" descr="Trends in under 18 conception rate per 1,000 for England and Kent between 2017 and 2021. Both indicate gradual reduction.">
              <a:extLst xmlns:a="http://schemas.openxmlformats.org/drawingml/2006/main">
                <a:ext uri="{FF2B5EF4-FFF2-40B4-BE49-F238E27FC236}">
                  <a16:creationId xmlns:a16="http://schemas.microsoft.com/office/drawing/2014/main" id="{F0CD45EA-57A3-1401-7D86-14ADEEF20C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ADC5B4C" w14:textId="77777777" w:rsidR="6B91972C" w:rsidRDefault="1FB0D314" w:rsidP="00C579B7">
      <w:pPr>
        <w:spacing w:after="200"/>
        <w:jc w:val="both"/>
        <w:rPr>
          <w:rFonts w:ascii="Verdana" w:hAnsi="Verdana"/>
          <w:color w:val="000000" w:themeColor="text1"/>
          <w:sz w:val="22"/>
          <w:szCs w:val="22"/>
        </w:rPr>
      </w:pPr>
      <w:r w:rsidRPr="6B91972C">
        <w:rPr>
          <w:rFonts w:ascii="Verdana" w:hAnsi="Verdana"/>
          <w:color w:val="000000" w:themeColor="text1"/>
          <w:sz w:val="22"/>
          <w:szCs w:val="22"/>
        </w:rPr>
        <w:t>Teenage Mothers is an indicator found on the Child and Maternal Health data</w:t>
      </w:r>
      <w:r w:rsidR="6A67BD12" w:rsidRPr="6B91972C">
        <w:rPr>
          <w:rStyle w:val="FootnoteReference"/>
          <w:rFonts w:ascii="Verdana" w:hAnsi="Verdana"/>
          <w:color w:val="000000" w:themeColor="text1"/>
          <w:sz w:val="22"/>
          <w:szCs w:val="22"/>
        </w:rPr>
        <w:footnoteReference w:id="95"/>
      </w:r>
      <w:r w:rsidRPr="6B91972C">
        <w:rPr>
          <w:rFonts w:ascii="Verdana" w:hAnsi="Verdana"/>
          <w:color w:val="000000" w:themeColor="text1"/>
          <w:sz w:val="22"/>
          <w:szCs w:val="22"/>
        </w:rPr>
        <w:t xml:space="preserve">. In 2022/2023 Kent </w:t>
      </w:r>
      <w:r w:rsidR="4B7C78D2" w:rsidRPr="6B91972C">
        <w:rPr>
          <w:rFonts w:ascii="Verdana" w:hAnsi="Verdana"/>
          <w:color w:val="000000" w:themeColor="text1"/>
          <w:sz w:val="22"/>
          <w:szCs w:val="22"/>
        </w:rPr>
        <w:t>(0</w:t>
      </w:r>
      <w:r w:rsidR="0BE838B3" w:rsidRPr="6B91972C">
        <w:rPr>
          <w:rFonts w:ascii="Verdana" w:hAnsi="Verdana"/>
          <w:color w:val="000000" w:themeColor="text1"/>
          <w:sz w:val="22"/>
          <w:szCs w:val="22"/>
        </w:rPr>
        <w:t>.56</w:t>
      </w:r>
      <w:r w:rsidR="4B7C78D2" w:rsidRPr="6B91972C">
        <w:rPr>
          <w:rFonts w:ascii="Verdana" w:hAnsi="Verdana"/>
          <w:color w:val="000000" w:themeColor="text1"/>
          <w:sz w:val="22"/>
          <w:szCs w:val="22"/>
        </w:rPr>
        <w:t xml:space="preserve">%) </w:t>
      </w:r>
      <w:r w:rsidRPr="6B91972C">
        <w:rPr>
          <w:rFonts w:ascii="Verdana" w:hAnsi="Verdana"/>
          <w:color w:val="000000" w:themeColor="text1"/>
          <w:sz w:val="22"/>
          <w:szCs w:val="22"/>
        </w:rPr>
        <w:t xml:space="preserve">had a higher rate of teenage motherhood than </w:t>
      </w:r>
      <w:r w:rsidR="04DEFBD3" w:rsidRPr="6B91972C">
        <w:rPr>
          <w:rFonts w:ascii="Verdana" w:hAnsi="Verdana"/>
          <w:color w:val="000000" w:themeColor="text1"/>
          <w:sz w:val="22"/>
          <w:szCs w:val="22"/>
        </w:rPr>
        <w:t>the South East</w:t>
      </w:r>
      <w:r w:rsidR="6741CCE8" w:rsidRPr="6B91972C">
        <w:rPr>
          <w:rFonts w:ascii="Verdana" w:hAnsi="Verdana"/>
          <w:color w:val="000000" w:themeColor="text1"/>
          <w:sz w:val="22"/>
          <w:szCs w:val="22"/>
        </w:rPr>
        <w:t xml:space="preserve"> (0.46%)</w:t>
      </w:r>
      <w:r w:rsidR="04DEFBD3" w:rsidRPr="6B91972C">
        <w:rPr>
          <w:rFonts w:ascii="Verdana" w:hAnsi="Verdana"/>
          <w:color w:val="000000" w:themeColor="text1"/>
          <w:sz w:val="22"/>
          <w:szCs w:val="22"/>
        </w:rPr>
        <w:t xml:space="preserve">. </w:t>
      </w:r>
      <w:r w:rsidR="795B3F9B" w:rsidRPr="6B91972C">
        <w:rPr>
          <w:rFonts w:ascii="Verdana" w:hAnsi="Verdana"/>
          <w:color w:val="000000" w:themeColor="text1"/>
          <w:sz w:val="22"/>
          <w:szCs w:val="22"/>
        </w:rPr>
        <w:t xml:space="preserve">England is higher overall at 0.6%. </w:t>
      </w:r>
      <w:r w:rsidR="6064F90F" w:rsidRPr="6B91972C">
        <w:rPr>
          <w:rFonts w:ascii="Verdana" w:hAnsi="Verdana"/>
          <w:color w:val="000000" w:themeColor="text1"/>
          <w:sz w:val="22"/>
          <w:szCs w:val="22"/>
        </w:rPr>
        <w:t xml:space="preserve">District level data is not available. </w:t>
      </w:r>
    </w:p>
    <w:p w14:paraId="02A754B2" w14:textId="77777777" w:rsidR="00C579B7" w:rsidRPr="00C579B7" w:rsidRDefault="22F09395" w:rsidP="00C579B7">
      <w:pPr>
        <w:spacing w:after="200"/>
        <w:jc w:val="both"/>
        <w:rPr>
          <w:rFonts w:ascii="Verdana" w:hAnsi="Verdana"/>
          <w:b/>
          <w:bCs/>
          <w:color w:val="000000" w:themeColor="text1"/>
          <w:sz w:val="22"/>
          <w:szCs w:val="22"/>
        </w:rPr>
      </w:pPr>
      <w:r w:rsidRPr="136F3BEB">
        <w:rPr>
          <w:rFonts w:ascii="Verdana" w:hAnsi="Verdana"/>
          <w:b/>
          <w:bCs/>
          <w:color w:val="000000" w:themeColor="text1"/>
          <w:sz w:val="22"/>
          <w:szCs w:val="22"/>
        </w:rPr>
        <w:t>Figure 1</w:t>
      </w:r>
      <w:r w:rsidR="04F2BDE6" w:rsidRPr="136F3BEB">
        <w:rPr>
          <w:rFonts w:ascii="Verdana" w:hAnsi="Verdana"/>
          <w:b/>
          <w:bCs/>
          <w:color w:val="000000" w:themeColor="text1"/>
          <w:sz w:val="22"/>
          <w:szCs w:val="22"/>
        </w:rPr>
        <w:t>4</w:t>
      </w:r>
      <w:r w:rsidRPr="136F3BEB">
        <w:rPr>
          <w:rFonts w:ascii="Verdana" w:hAnsi="Verdana"/>
          <w:b/>
          <w:bCs/>
          <w:color w:val="000000" w:themeColor="text1"/>
          <w:sz w:val="22"/>
          <w:szCs w:val="22"/>
        </w:rPr>
        <w:t>: Teenage Mothers- Proportion %</w:t>
      </w:r>
    </w:p>
    <w:p w14:paraId="6868DB39" w14:textId="77777777" w:rsidR="3F7A54F8" w:rsidRDefault="00C579B7" w:rsidP="0089791B">
      <w:pPr>
        <w:spacing w:after="200"/>
        <w:jc w:val="center"/>
      </w:pPr>
      <w:r>
        <w:rPr>
          <w:noProof/>
        </w:rPr>
        <w:drawing>
          <wp:inline distT="0" distB="0" distL="0" distR="0" wp14:anchorId="2E07CA8E" wp14:editId="2A7BBAC2">
            <wp:extent cx="4572000" cy="2743200"/>
            <wp:effectExtent l="0" t="0" r="0" b="0"/>
            <wp:docPr id="594917601" name="Chart 1" descr="Trends in proportion of teenage mothers for England and Kent between 2018/19 and 2022/23 financial years. Kent figure has reduced from 0.8% to 0.5%.">
              <a:extLst xmlns:a="http://schemas.openxmlformats.org/drawingml/2006/main">
                <a:ext uri="{FF2B5EF4-FFF2-40B4-BE49-F238E27FC236}">
                  <a16:creationId xmlns:a16="http://schemas.microsoft.com/office/drawing/2014/main" id="{6CB81BBC-2771-E961-D5E1-6824CD9432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9AEFA25" w14:textId="77777777" w:rsidR="6B91972C" w:rsidRDefault="6B91972C" w:rsidP="6B91972C">
      <w:pPr>
        <w:spacing w:after="200"/>
        <w:jc w:val="both"/>
        <w:rPr>
          <w:rFonts w:ascii="Verdana" w:hAnsi="Verdana"/>
          <w:color w:val="000000" w:themeColor="text1"/>
          <w:sz w:val="22"/>
          <w:szCs w:val="22"/>
        </w:rPr>
      </w:pPr>
    </w:p>
    <w:p w14:paraId="68BF1F27" w14:textId="77777777" w:rsidR="6B91972C" w:rsidRDefault="6B91972C" w:rsidP="6B91972C">
      <w:pPr>
        <w:spacing w:after="200"/>
        <w:jc w:val="both"/>
        <w:rPr>
          <w:rFonts w:ascii="Verdana" w:hAnsi="Verdana"/>
          <w:color w:val="000000" w:themeColor="text1"/>
          <w:sz w:val="22"/>
          <w:szCs w:val="22"/>
        </w:rPr>
      </w:pPr>
    </w:p>
    <w:p w14:paraId="071B007A" w14:textId="77777777" w:rsidR="009F2C10" w:rsidRPr="0089791B" w:rsidRDefault="7B030D71" w:rsidP="49636075">
      <w:pPr>
        <w:pStyle w:val="Heading2"/>
        <w:numPr>
          <w:ilvl w:val="0"/>
          <w:numId w:val="0"/>
        </w:numPr>
        <w:rPr>
          <w:rFonts w:ascii="Verdana" w:eastAsia="Verdana" w:hAnsi="Verdana" w:cs="Verdana"/>
          <w:b w:val="0"/>
          <w:bCs w:val="0"/>
          <w:sz w:val="24"/>
          <w:szCs w:val="24"/>
        </w:rPr>
      </w:pPr>
      <w:bookmarkStart w:id="42" w:name="_Toc1482692886"/>
      <w:r w:rsidRPr="136F3BEB">
        <w:rPr>
          <w:rFonts w:ascii="Verdana" w:hAnsi="Verdana"/>
          <w:sz w:val="24"/>
          <w:szCs w:val="24"/>
        </w:rPr>
        <w:t xml:space="preserve">4.5 </w:t>
      </w:r>
      <w:r w:rsidR="02B97010" w:rsidRPr="136F3BEB">
        <w:rPr>
          <w:rFonts w:ascii="Verdana" w:eastAsia="Verdana" w:hAnsi="Verdana" w:cs="Verdana"/>
          <w:sz w:val="24"/>
          <w:szCs w:val="24"/>
        </w:rPr>
        <w:t>Abortions</w:t>
      </w:r>
      <w:bookmarkEnd w:id="42"/>
    </w:p>
    <w:p w14:paraId="31EDEB9D" w14:textId="77777777" w:rsidR="316CE3F0" w:rsidRPr="008D6AC4" w:rsidRDefault="316CE3F0" w:rsidP="4A0F6D8A">
      <w:pPr>
        <w:spacing w:after="200"/>
        <w:jc w:val="both"/>
        <w:rPr>
          <w:rFonts w:ascii="Verdana" w:hAnsi="Verdana"/>
          <w:color w:val="000000" w:themeColor="text1"/>
          <w:sz w:val="22"/>
          <w:szCs w:val="22"/>
        </w:rPr>
      </w:pPr>
      <w:r w:rsidRPr="008D6AC4">
        <w:rPr>
          <w:rFonts w:ascii="Verdana" w:hAnsi="Verdana"/>
          <w:color w:val="000000" w:themeColor="text1"/>
          <w:sz w:val="22"/>
          <w:szCs w:val="22"/>
        </w:rPr>
        <w:t>The proportion of conceptions leading to abortion in teenagers under the age of 18 was 59.5% in 2021, increasing 8% from 55.1% in 2020. In Folkestone and Hythe, the proportion was 84.2%, highest of all the Kent districts. In 2021, the proportion in Kent was higher than the South East (58.5%) and England (53.4%).</w:t>
      </w:r>
      <w:r w:rsidRPr="008D6AC4">
        <w:rPr>
          <w:rFonts w:ascii="Verdana" w:hAnsi="Verdana"/>
          <w:sz w:val="22"/>
          <w:szCs w:val="22"/>
        </w:rPr>
        <w:t xml:space="preserve"> </w:t>
      </w:r>
    </w:p>
    <w:p w14:paraId="0F74AEB8" w14:textId="77777777" w:rsidR="05FFD382" w:rsidRPr="008D6AC4" w:rsidRDefault="05FFD382" w:rsidP="4A0F6D8A">
      <w:pPr>
        <w:spacing w:after="200"/>
        <w:jc w:val="both"/>
        <w:rPr>
          <w:rFonts w:ascii="Verdana" w:hAnsi="Verdana"/>
          <w:sz w:val="22"/>
          <w:szCs w:val="22"/>
        </w:rPr>
      </w:pPr>
      <w:r w:rsidRPr="6B91972C">
        <w:rPr>
          <w:rFonts w:ascii="Verdana" w:hAnsi="Verdana"/>
          <w:sz w:val="22"/>
          <w:szCs w:val="22"/>
        </w:rPr>
        <w:t>F</w:t>
      </w:r>
      <w:r w:rsidR="298C1F54" w:rsidRPr="6B91972C">
        <w:rPr>
          <w:rFonts w:ascii="Verdana" w:hAnsi="Verdana"/>
          <w:sz w:val="22"/>
          <w:szCs w:val="22"/>
        </w:rPr>
        <w:t>or females</w:t>
      </w:r>
      <w:r w:rsidR="5F6E986A" w:rsidRPr="6B91972C">
        <w:rPr>
          <w:rFonts w:ascii="Verdana" w:hAnsi="Verdana"/>
          <w:sz w:val="22"/>
          <w:szCs w:val="22"/>
        </w:rPr>
        <w:t xml:space="preserve"> </w:t>
      </w:r>
      <w:r w:rsidR="434209F0" w:rsidRPr="6B91972C">
        <w:rPr>
          <w:rFonts w:ascii="Verdana" w:hAnsi="Verdana"/>
          <w:sz w:val="22"/>
          <w:szCs w:val="22"/>
        </w:rPr>
        <w:t>15</w:t>
      </w:r>
      <w:r w:rsidR="00B4120C" w:rsidRPr="6B91972C">
        <w:rPr>
          <w:rFonts w:ascii="Verdana" w:hAnsi="Verdana"/>
          <w:sz w:val="22"/>
          <w:szCs w:val="22"/>
        </w:rPr>
        <w:t xml:space="preserve"> to </w:t>
      </w:r>
      <w:r w:rsidR="434209F0" w:rsidRPr="6B91972C">
        <w:rPr>
          <w:rFonts w:ascii="Verdana" w:hAnsi="Verdana"/>
          <w:sz w:val="22"/>
          <w:szCs w:val="22"/>
        </w:rPr>
        <w:t>44 year</w:t>
      </w:r>
      <w:r w:rsidR="3B7AE0D2" w:rsidRPr="6B91972C">
        <w:rPr>
          <w:rFonts w:ascii="Verdana" w:hAnsi="Verdana"/>
          <w:sz w:val="22"/>
          <w:szCs w:val="22"/>
        </w:rPr>
        <w:t>s,</w:t>
      </w:r>
      <w:r w:rsidR="5F6E986A" w:rsidRPr="6B91972C">
        <w:rPr>
          <w:rFonts w:ascii="Verdana" w:hAnsi="Verdana"/>
          <w:sz w:val="22"/>
          <w:szCs w:val="22"/>
        </w:rPr>
        <w:t xml:space="preserve"> </w:t>
      </w:r>
      <w:r w:rsidR="67875542" w:rsidRPr="6B91972C">
        <w:rPr>
          <w:rFonts w:ascii="Verdana" w:hAnsi="Verdana"/>
          <w:sz w:val="22"/>
          <w:szCs w:val="22"/>
        </w:rPr>
        <w:t>in 2021,</w:t>
      </w:r>
      <w:r w:rsidR="5F6E986A" w:rsidRPr="6B91972C">
        <w:rPr>
          <w:rFonts w:ascii="Verdana" w:hAnsi="Verdana"/>
          <w:sz w:val="22"/>
          <w:szCs w:val="22"/>
        </w:rPr>
        <w:t xml:space="preserve"> the total abortion rate per 1,000 of the population was 19.0 compared to </w:t>
      </w:r>
      <w:r w:rsidR="1FA75603" w:rsidRPr="6B91972C">
        <w:rPr>
          <w:rFonts w:ascii="Verdana" w:hAnsi="Verdana"/>
          <w:sz w:val="22"/>
          <w:szCs w:val="22"/>
        </w:rPr>
        <w:t>19.2</w:t>
      </w:r>
      <w:r w:rsidR="51D92D3F" w:rsidRPr="6B91972C">
        <w:rPr>
          <w:rFonts w:ascii="Verdana" w:hAnsi="Verdana"/>
          <w:sz w:val="22"/>
          <w:szCs w:val="22"/>
        </w:rPr>
        <w:t xml:space="preserve"> for England. Both Kent and England rates</w:t>
      </w:r>
      <w:r w:rsidR="7EFB4E2F" w:rsidRPr="6B91972C">
        <w:rPr>
          <w:rFonts w:ascii="Verdana" w:hAnsi="Verdana"/>
          <w:sz w:val="22"/>
          <w:szCs w:val="22"/>
        </w:rPr>
        <w:t xml:space="preserve"> have increased since 2012</w:t>
      </w:r>
      <w:r w:rsidR="3870B57B" w:rsidRPr="6B91972C">
        <w:rPr>
          <w:rFonts w:ascii="Verdana" w:hAnsi="Verdana"/>
          <w:sz w:val="22"/>
          <w:szCs w:val="22"/>
        </w:rPr>
        <w:t>, rising from</w:t>
      </w:r>
      <w:r w:rsidR="51D92D3F" w:rsidRPr="6B91972C">
        <w:rPr>
          <w:rFonts w:ascii="Verdana" w:hAnsi="Verdana"/>
          <w:sz w:val="22"/>
          <w:szCs w:val="22"/>
        </w:rPr>
        <w:t xml:space="preserve"> </w:t>
      </w:r>
      <w:r w:rsidR="10C16612" w:rsidRPr="6B91972C">
        <w:rPr>
          <w:rFonts w:ascii="Verdana" w:hAnsi="Verdana"/>
          <w:sz w:val="22"/>
          <w:szCs w:val="22"/>
        </w:rPr>
        <w:t xml:space="preserve">15.6 for Kent, and 16.5 for England. </w:t>
      </w:r>
    </w:p>
    <w:p w14:paraId="0A5F83AB" w14:textId="77777777" w:rsidR="3C498D4F" w:rsidRDefault="3C498D4F" w:rsidP="6B91972C">
      <w:pPr>
        <w:spacing w:after="200"/>
        <w:jc w:val="both"/>
        <w:rPr>
          <w:rFonts w:ascii="Verdana" w:hAnsi="Verdana"/>
          <w:color w:val="000000" w:themeColor="text1"/>
          <w:sz w:val="22"/>
          <w:szCs w:val="22"/>
        </w:rPr>
      </w:pPr>
      <w:r w:rsidRPr="6B91972C">
        <w:rPr>
          <w:rFonts w:ascii="Verdana" w:hAnsi="Verdana"/>
          <w:color w:val="000000" w:themeColor="text1"/>
          <w:sz w:val="22"/>
          <w:szCs w:val="22"/>
        </w:rPr>
        <w:t>2021 is the most recent data currently available at a county level. National data is available for 2022 which has shown a sharp 17% increase in abortions.</w:t>
      </w:r>
    </w:p>
    <w:p w14:paraId="0D4ADACA" w14:textId="77777777" w:rsidR="1310BCD0" w:rsidRPr="008D6AC4" w:rsidRDefault="27F1425A" w:rsidP="4A0F6D8A">
      <w:pPr>
        <w:spacing w:after="200"/>
        <w:jc w:val="both"/>
        <w:rPr>
          <w:rFonts w:ascii="Verdana" w:hAnsi="Verdana"/>
          <w:sz w:val="22"/>
          <w:szCs w:val="22"/>
        </w:rPr>
      </w:pPr>
      <w:r w:rsidRPr="008D6AC4">
        <w:rPr>
          <w:rFonts w:ascii="Verdana" w:hAnsi="Verdana"/>
          <w:sz w:val="22"/>
          <w:szCs w:val="22"/>
        </w:rPr>
        <w:t xml:space="preserve">The trend in abortion rate varies by age group. </w:t>
      </w:r>
      <w:r w:rsidR="3DE9E07E" w:rsidRPr="008D6AC4">
        <w:rPr>
          <w:rFonts w:ascii="Verdana" w:hAnsi="Verdana"/>
          <w:sz w:val="22"/>
          <w:szCs w:val="22"/>
        </w:rPr>
        <w:t>Nationally, the rates for abortions have increased for all ages 22 and above, with the largest increase among women aged 30 to 34</w:t>
      </w:r>
      <w:r w:rsidR="1310BCD0" w:rsidRPr="008D6AC4">
        <w:rPr>
          <w:rStyle w:val="FootnoteReference"/>
          <w:rFonts w:ascii="Verdana" w:hAnsi="Verdana"/>
          <w:sz w:val="22"/>
          <w:szCs w:val="22"/>
        </w:rPr>
        <w:footnoteReference w:id="96"/>
      </w:r>
      <w:r w:rsidR="3DE9E07E" w:rsidRPr="008D6AC4">
        <w:rPr>
          <w:rFonts w:ascii="Verdana" w:hAnsi="Verdana"/>
          <w:sz w:val="22"/>
          <w:szCs w:val="22"/>
        </w:rPr>
        <w:t>.</w:t>
      </w:r>
      <w:r w:rsidR="6160B8FB" w:rsidRPr="008D6AC4">
        <w:rPr>
          <w:rFonts w:ascii="Verdana" w:hAnsi="Verdana"/>
          <w:sz w:val="22"/>
          <w:szCs w:val="22"/>
        </w:rPr>
        <w:t xml:space="preserve"> Reasons for this have been suggested, including the cost of living crisis, issues accessing contraception and changes to abortion services</w:t>
      </w:r>
      <w:r w:rsidR="1310BCD0" w:rsidRPr="008D6AC4">
        <w:rPr>
          <w:rStyle w:val="FootnoteReference"/>
          <w:rFonts w:ascii="Verdana" w:hAnsi="Verdana"/>
          <w:sz w:val="22"/>
          <w:szCs w:val="22"/>
        </w:rPr>
        <w:footnoteReference w:id="97"/>
      </w:r>
      <w:r w:rsidR="6160B8FB" w:rsidRPr="008D6AC4">
        <w:rPr>
          <w:rFonts w:ascii="Verdana" w:hAnsi="Verdana"/>
          <w:sz w:val="22"/>
          <w:szCs w:val="22"/>
        </w:rPr>
        <w:t>.</w:t>
      </w:r>
    </w:p>
    <w:p w14:paraId="0BB83C8C" w14:textId="77777777" w:rsidR="009F2C10" w:rsidRPr="0089791B" w:rsidRDefault="607B70C2" w:rsidP="49636075">
      <w:pPr>
        <w:pStyle w:val="Heading2"/>
        <w:numPr>
          <w:ilvl w:val="0"/>
          <w:numId w:val="0"/>
        </w:numPr>
        <w:rPr>
          <w:rFonts w:ascii="Verdana" w:eastAsia="Verdana" w:hAnsi="Verdana" w:cs="Verdana"/>
          <w:sz w:val="24"/>
          <w:szCs w:val="24"/>
        </w:rPr>
      </w:pPr>
      <w:bookmarkStart w:id="43" w:name="_Toc1473137543"/>
      <w:r w:rsidRPr="136F3BEB">
        <w:rPr>
          <w:rFonts w:ascii="Verdana" w:hAnsi="Verdana"/>
          <w:sz w:val="24"/>
          <w:szCs w:val="24"/>
        </w:rPr>
        <w:t xml:space="preserve">4.6 </w:t>
      </w:r>
      <w:r w:rsidR="61581207" w:rsidRPr="136F3BEB">
        <w:rPr>
          <w:rFonts w:ascii="Verdana" w:eastAsia="Verdana" w:hAnsi="Verdana" w:cs="Verdana"/>
          <w:sz w:val="24"/>
          <w:szCs w:val="24"/>
        </w:rPr>
        <w:t>Ectopic Pregnancy and Pelvic Inflammatory Disease</w:t>
      </w:r>
      <w:bookmarkEnd w:id="43"/>
    </w:p>
    <w:p w14:paraId="35F76D13" w14:textId="77777777" w:rsidR="009F2C10" w:rsidRPr="008D6AC4" w:rsidRDefault="2398A52E" w:rsidP="009F2C10">
      <w:pPr>
        <w:spacing w:before="240" w:after="240"/>
        <w:jc w:val="both"/>
        <w:rPr>
          <w:rFonts w:ascii="Verdana" w:eastAsia="Calibri" w:hAnsi="Verdana" w:cs="Calibri"/>
          <w:sz w:val="22"/>
          <w:szCs w:val="22"/>
        </w:rPr>
      </w:pPr>
      <w:r w:rsidRPr="008D6AC4">
        <w:rPr>
          <w:rFonts w:ascii="Verdana" w:eastAsia="Calibri" w:hAnsi="Verdana" w:cs="Calibri"/>
          <w:sz w:val="22"/>
          <w:szCs w:val="22"/>
        </w:rPr>
        <w:t xml:space="preserve">Both ectopic pregnancy and pelvic inflammatory disease </w:t>
      </w:r>
      <w:r w:rsidR="16299235" w:rsidRPr="008D6AC4">
        <w:rPr>
          <w:rFonts w:ascii="Verdana" w:eastAsia="Calibri" w:hAnsi="Verdana" w:cs="Calibri"/>
          <w:sz w:val="22"/>
          <w:szCs w:val="22"/>
        </w:rPr>
        <w:t xml:space="preserve">(PID) </w:t>
      </w:r>
      <w:r w:rsidRPr="008D6AC4">
        <w:rPr>
          <w:rFonts w:ascii="Verdana" w:eastAsia="Calibri" w:hAnsi="Verdana" w:cs="Calibri"/>
          <w:sz w:val="22"/>
          <w:szCs w:val="22"/>
        </w:rPr>
        <w:t>can be caused by poor sexual health, more specifically untreated chlamydia or gonorrhoea infections</w:t>
      </w:r>
      <w:r w:rsidR="009F2C10" w:rsidRPr="008D6AC4">
        <w:rPr>
          <w:rStyle w:val="FootnoteReference"/>
          <w:rFonts w:ascii="Verdana" w:eastAsia="Calibri" w:hAnsi="Verdana" w:cs="Calibri"/>
          <w:sz w:val="22"/>
          <w:szCs w:val="22"/>
        </w:rPr>
        <w:footnoteReference w:id="98"/>
      </w:r>
      <w:r w:rsidRPr="008D6AC4">
        <w:rPr>
          <w:rFonts w:ascii="Verdana" w:eastAsia="Calibri" w:hAnsi="Verdana" w:cs="Calibri"/>
          <w:sz w:val="22"/>
          <w:szCs w:val="22"/>
        </w:rPr>
        <w:t xml:space="preserve">. Therefore, it is important to monitor increases and changes of these issues in the population.  </w:t>
      </w:r>
    </w:p>
    <w:p w14:paraId="70203DCD" w14:textId="77777777" w:rsidR="009F2C10" w:rsidRPr="008D6AC4" w:rsidRDefault="27734B06" w:rsidP="009F2C10">
      <w:pPr>
        <w:spacing w:before="240" w:after="240"/>
        <w:jc w:val="both"/>
        <w:rPr>
          <w:rFonts w:ascii="Verdana" w:eastAsia="Calibri" w:hAnsi="Verdana" w:cs="Calibri"/>
          <w:sz w:val="22"/>
          <w:szCs w:val="22"/>
        </w:rPr>
      </w:pPr>
      <w:r w:rsidRPr="008D6AC4">
        <w:rPr>
          <w:rFonts w:ascii="Verdana" w:eastAsia="Calibri" w:hAnsi="Verdana" w:cs="Calibri"/>
          <w:sz w:val="22"/>
          <w:szCs w:val="22"/>
        </w:rPr>
        <w:t xml:space="preserve">The ectopic pregnancy admissions rate per 100,000 is 99.1 in Kent for 2022/23, a decrease of around 2.26% since 2021/22 when it was 101.4. Although it is a decrease, the rate is higher than England which was 89 per 100,000 in 2022/23 and the </w:t>
      </w:r>
      <w:r w:rsidR="36BC9245" w:rsidRPr="008D6AC4">
        <w:rPr>
          <w:rFonts w:ascii="Verdana" w:eastAsia="Calibri" w:hAnsi="Verdana" w:cs="Calibri"/>
          <w:sz w:val="22"/>
          <w:szCs w:val="22"/>
        </w:rPr>
        <w:t>Southeast</w:t>
      </w:r>
      <w:r w:rsidRPr="008D6AC4">
        <w:rPr>
          <w:rFonts w:ascii="Verdana" w:eastAsia="Calibri" w:hAnsi="Verdana" w:cs="Calibri"/>
          <w:sz w:val="22"/>
          <w:szCs w:val="22"/>
        </w:rPr>
        <w:t xml:space="preserve"> at 91.1. Within Kent increases can be seen in some districts, Tonbridge and Malling and Sevenoaks although the counts are quite low. The rates are comparably high in Dartford, Ashford, Dover, Thanet. </w:t>
      </w:r>
    </w:p>
    <w:p w14:paraId="1FEFE1C1" w14:textId="77777777" w:rsidR="009F2C10" w:rsidRPr="008D6AC4" w:rsidRDefault="009F2C10" w:rsidP="009F2C10">
      <w:pPr>
        <w:spacing w:before="240" w:after="240"/>
        <w:jc w:val="both"/>
        <w:rPr>
          <w:rFonts w:ascii="Verdana" w:eastAsia="Calibri" w:hAnsi="Verdana" w:cs="Calibri"/>
          <w:sz w:val="22"/>
          <w:szCs w:val="22"/>
        </w:rPr>
      </w:pPr>
      <w:r w:rsidRPr="008D6AC4">
        <w:rPr>
          <w:rFonts w:ascii="Verdana" w:eastAsia="Calibri" w:hAnsi="Verdana" w:cs="Calibri"/>
          <w:sz w:val="22"/>
          <w:szCs w:val="22"/>
        </w:rPr>
        <w:t xml:space="preserve">PID admission rate is also higher than the national rate (226.7 per 100,000) and the </w:t>
      </w:r>
      <w:r w:rsidR="00483EAB" w:rsidRPr="008D6AC4">
        <w:rPr>
          <w:rFonts w:ascii="Verdana" w:eastAsia="Calibri" w:hAnsi="Verdana" w:cs="Calibri"/>
          <w:sz w:val="22"/>
          <w:szCs w:val="22"/>
        </w:rPr>
        <w:t>So</w:t>
      </w:r>
      <w:r w:rsidRPr="008D6AC4">
        <w:rPr>
          <w:rFonts w:ascii="Verdana" w:eastAsia="Calibri" w:hAnsi="Verdana" w:cs="Calibri"/>
          <w:sz w:val="22"/>
          <w:szCs w:val="22"/>
        </w:rPr>
        <w:t xml:space="preserve">uth </w:t>
      </w:r>
      <w:r w:rsidR="00483EAB" w:rsidRPr="008D6AC4">
        <w:rPr>
          <w:rFonts w:ascii="Verdana" w:eastAsia="Calibri" w:hAnsi="Verdana" w:cs="Calibri"/>
          <w:sz w:val="22"/>
          <w:szCs w:val="22"/>
        </w:rPr>
        <w:t>E</w:t>
      </w:r>
      <w:r w:rsidRPr="008D6AC4">
        <w:rPr>
          <w:rFonts w:ascii="Verdana" w:eastAsia="Calibri" w:hAnsi="Verdana" w:cs="Calibri"/>
          <w:sz w:val="22"/>
          <w:szCs w:val="22"/>
        </w:rPr>
        <w:t xml:space="preserve">ast (212.1) and has increased since the previous year, 269.3 per 100,000 in 2021/22 to 288.5 per 100,000 in 2022/23. Thanet has the highest </w:t>
      </w:r>
      <w:r w:rsidRPr="008D6AC4">
        <w:rPr>
          <w:rFonts w:ascii="Verdana" w:eastAsia="Calibri" w:hAnsi="Verdana" w:cs="Calibri"/>
          <w:sz w:val="22"/>
          <w:szCs w:val="22"/>
        </w:rPr>
        <w:lastRenderedPageBreak/>
        <w:t xml:space="preserve">rates in the </w:t>
      </w:r>
      <w:r w:rsidR="00483EAB" w:rsidRPr="008D6AC4">
        <w:rPr>
          <w:rFonts w:ascii="Verdana" w:eastAsia="Calibri" w:hAnsi="Verdana" w:cs="Calibri"/>
          <w:sz w:val="22"/>
          <w:szCs w:val="22"/>
        </w:rPr>
        <w:t>S</w:t>
      </w:r>
      <w:r w:rsidRPr="008D6AC4">
        <w:rPr>
          <w:rFonts w:ascii="Verdana" w:eastAsia="Calibri" w:hAnsi="Verdana" w:cs="Calibri"/>
          <w:sz w:val="22"/>
          <w:szCs w:val="22"/>
        </w:rPr>
        <w:t xml:space="preserve">outh </w:t>
      </w:r>
      <w:r w:rsidR="00483EAB" w:rsidRPr="008D6AC4">
        <w:rPr>
          <w:rFonts w:ascii="Verdana" w:eastAsia="Calibri" w:hAnsi="Verdana" w:cs="Calibri"/>
          <w:sz w:val="22"/>
          <w:szCs w:val="22"/>
        </w:rPr>
        <w:t>E</w:t>
      </w:r>
      <w:r w:rsidRPr="008D6AC4">
        <w:rPr>
          <w:rFonts w:ascii="Verdana" w:eastAsia="Calibri" w:hAnsi="Verdana" w:cs="Calibri"/>
          <w:sz w:val="22"/>
          <w:szCs w:val="22"/>
        </w:rPr>
        <w:t>ast region at 523.9 per 100,000. Rates are also high in Gravesham, Dartford, Dover, Folkestone and Hythe, Maidstone and Sevenoaks.</w:t>
      </w:r>
    </w:p>
    <w:p w14:paraId="50B45B64" w14:textId="77777777" w:rsidR="00267D0A" w:rsidRPr="0089791B" w:rsidRDefault="02BBE624" w:rsidP="4A0F6D8A">
      <w:pPr>
        <w:pStyle w:val="Heading1"/>
        <w:numPr>
          <w:ilvl w:val="0"/>
          <w:numId w:val="0"/>
        </w:numPr>
        <w:rPr>
          <w:rFonts w:ascii="Verdana" w:hAnsi="Verdana"/>
          <w:color w:val="2D7C82"/>
          <w:sz w:val="28"/>
          <w:szCs w:val="28"/>
        </w:rPr>
      </w:pPr>
      <w:bookmarkStart w:id="44" w:name="_Toc1459279652"/>
      <w:r w:rsidRPr="136F3BEB">
        <w:rPr>
          <w:rFonts w:ascii="Verdana" w:hAnsi="Verdana"/>
          <w:color w:val="2D7C82"/>
          <w:sz w:val="28"/>
          <w:szCs w:val="28"/>
        </w:rPr>
        <w:t>5</w:t>
      </w:r>
      <w:r w:rsidR="7B84D839" w:rsidRPr="136F3BEB">
        <w:rPr>
          <w:rFonts w:ascii="Verdana" w:hAnsi="Verdana"/>
          <w:color w:val="2D7C82"/>
          <w:sz w:val="28"/>
          <w:szCs w:val="28"/>
        </w:rPr>
        <w:t>.</w:t>
      </w:r>
      <w:r w:rsidR="5CDFD0E8">
        <w:tab/>
      </w:r>
      <w:r w:rsidR="61581207" w:rsidRPr="136F3BEB">
        <w:rPr>
          <w:rFonts w:ascii="Verdana" w:hAnsi="Verdana"/>
          <w:color w:val="2D7C82"/>
          <w:sz w:val="28"/>
          <w:szCs w:val="28"/>
        </w:rPr>
        <w:t>Sexual Health Services in Kent</w:t>
      </w:r>
      <w:bookmarkEnd w:id="44"/>
    </w:p>
    <w:p w14:paraId="3222E099" w14:textId="77777777" w:rsidR="00EF3DD0" w:rsidRPr="008D6AC4" w:rsidRDefault="34F7BB65" w:rsidP="4A0F6D8A">
      <w:pPr>
        <w:pStyle w:val="Heading2"/>
        <w:numPr>
          <w:ilvl w:val="0"/>
          <w:numId w:val="0"/>
        </w:numPr>
        <w:rPr>
          <w:rFonts w:ascii="Verdana" w:hAnsi="Verdana"/>
          <w:sz w:val="24"/>
          <w:szCs w:val="24"/>
        </w:rPr>
      </w:pPr>
      <w:bookmarkStart w:id="45" w:name="_Toc1340609564"/>
      <w:r w:rsidRPr="136F3BEB">
        <w:rPr>
          <w:rFonts w:ascii="Verdana" w:hAnsi="Verdana"/>
          <w:sz w:val="24"/>
          <w:szCs w:val="24"/>
        </w:rPr>
        <w:t xml:space="preserve">5.1 </w:t>
      </w:r>
      <w:r w:rsidR="61581207" w:rsidRPr="136F3BEB">
        <w:rPr>
          <w:rFonts w:ascii="Verdana" w:hAnsi="Verdana"/>
          <w:sz w:val="24"/>
          <w:szCs w:val="24"/>
        </w:rPr>
        <w:t>Specialist Integrated Sexual Health Services</w:t>
      </w:r>
      <w:bookmarkEnd w:id="45"/>
    </w:p>
    <w:p w14:paraId="7F0F1C2E" w14:textId="77777777" w:rsidR="009F2C10" w:rsidRPr="008D6AC4" w:rsidRDefault="009F2C10" w:rsidP="009F2C10">
      <w:pPr>
        <w:jc w:val="both"/>
        <w:rPr>
          <w:rFonts w:ascii="Verdana" w:hAnsi="Verdana"/>
          <w:sz w:val="22"/>
          <w:szCs w:val="22"/>
        </w:rPr>
      </w:pPr>
      <w:r w:rsidRPr="008D6AC4">
        <w:rPr>
          <w:rFonts w:ascii="Verdana" w:hAnsi="Verdana"/>
          <w:sz w:val="22"/>
          <w:szCs w:val="22"/>
        </w:rPr>
        <w:t xml:space="preserve">Specialist integrated sexual health services are mandated services provided by the Local Authority, with the aim of ensuring timely access to high quality services, accessed by a digital single point of access and provided in accessible locations. A wide range of sexual health services are provided, including contraception, sexual health screens for sexually transmitted infections (STIs) and HIV early diagnosis and treatment. Some sexual health services are excluded from the specialist integrated sexual health service, for example, termination of pregnancy services. </w:t>
      </w:r>
    </w:p>
    <w:p w14:paraId="01B8FF4F" w14:textId="77777777" w:rsidR="009F2C10" w:rsidRPr="008D6AC4" w:rsidRDefault="009F2C10" w:rsidP="009F2C10">
      <w:pPr>
        <w:jc w:val="both"/>
        <w:rPr>
          <w:rFonts w:ascii="Verdana" w:hAnsi="Verdana"/>
          <w:sz w:val="22"/>
          <w:szCs w:val="22"/>
        </w:rPr>
      </w:pPr>
      <w:r w:rsidRPr="008D6AC4">
        <w:rPr>
          <w:rFonts w:ascii="Verdana" w:hAnsi="Verdana"/>
          <w:sz w:val="22"/>
          <w:szCs w:val="22"/>
        </w:rPr>
        <w:t>The Kent integrated sexual health service specification requires updating to ensure the inclusion of national policy changes since it was last reviewed in 2020.</w:t>
      </w:r>
    </w:p>
    <w:p w14:paraId="31273113" w14:textId="77777777" w:rsidR="009F2C10" w:rsidRPr="008D6AC4" w:rsidRDefault="316CE3F0" w:rsidP="009F2C10">
      <w:pPr>
        <w:jc w:val="both"/>
        <w:rPr>
          <w:rFonts w:ascii="Verdana" w:hAnsi="Verdana"/>
          <w:sz w:val="22"/>
          <w:szCs w:val="22"/>
        </w:rPr>
      </w:pPr>
      <w:r w:rsidRPr="008D6AC4">
        <w:rPr>
          <w:rFonts w:ascii="Verdana" w:hAnsi="Verdana"/>
          <w:sz w:val="22"/>
          <w:szCs w:val="22"/>
        </w:rPr>
        <w:t>In Kent the specialist integrated service is delivered by two providers – Kent Community Health Foundation Trust (KCHFT) in East Kent and by Maidstone and Tunbridge Wells NHS Trust (MTW) in North and West Kent. Tables 2 and 3 show the number of people accessing the services along with their demographics.</w:t>
      </w:r>
    </w:p>
    <w:p w14:paraId="4792624C" w14:textId="77777777" w:rsidR="009F2C10" w:rsidRPr="008D6AC4" w:rsidRDefault="009F2C10" w:rsidP="009F2C10">
      <w:pPr>
        <w:jc w:val="both"/>
        <w:rPr>
          <w:rFonts w:ascii="Verdana" w:hAnsi="Verdana"/>
          <w:b/>
          <w:bCs/>
          <w:sz w:val="22"/>
          <w:szCs w:val="22"/>
        </w:rPr>
      </w:pPr>
      <w:r w:rsidRPr="008D6AC4">
        <w:rPr>
          <w:rFonts w:ascii="Verdana" w:hAnsi="Verdana"/>
          <w:b/>
          <w:bCs/>
          <w:sz w:val="22"/>
          <w:szCs w:val="22"/>
        </w:rPr>
        <w:t>Table 2: Number of people accessing the service per year by provider, from April 2020 to March 2024.</w:t>
      </w:r>
    </w:p>
    <w:tbl>
      <w:tblPr>
        <w:tblStyle w:val="TableGrid"/>
        <w:tblW w:w="0" w:type="auto"/>
        <w:tblInd w:w="108" w:type="dxa"/>
        <w:tblLook w:val="06A0" w:firstRow="1" w:lastRow="0" w:firstColumn="1" w:lastColumn="0" w:noHBand="1" w:noVBand="1"/>
      </w:tblPr>
      <w:tblGrid>
        <w:gridCol w:w="2552"/>
        <w:gridCol w:w="1559"/>
        <w:gridCol w:w="1559"/>
        <w:gridCol w:w="1560"/>
        <w:gridCol w:w="1619"/>
      </w:tblGrid>
      <w:tr w:rsidR="009F2C10" w:rsidRPr="008D6AC4" w14:paraId="32F5F54F" w14:textId="77777777" w:rsidTr="007443FF">
        <w:trPr>
          <w:trHeight w:val="300"/>
        </w:trPr>
        <w:tc>
          <w:tcPr>
            <w:tcW w:w="2552" w:type="dxa"/>
            <w:shd w:val="clear" w:color="auto" w:fill="DDF1F3"/>
          </w:tcPr>
          <w:p w14:paraId="55D1D786" w14:textId="77777777" w:rsidR="009F2C10" w:rsidRPr="008D6AC4" w:rsidRDefault="00D837E2" w:rsidP="009F2C10">
            <w:pPr>
              <w:jc w:val="both"/>
              <w:rPr>
                <w:rFonts w:ascii="Verdana" w:hAnsi="Verdana"/>
                <w:b/>
                <w:bCs/>
                <w:sz w:val="22"/>
                <w:szCs w:val="22"/>
              </w:rPr>
            </w:pPr>
            <w:r w:rsidRPr="008D6AC4">
              <w:rPr>
                <w:rFonts w:ascii="Verdana" w:hAnsi="Verdana"/>
                <w:b/>
                <w:bCs/>
                <w:sz w:val="22"/>
                <w:szCs w:val="22"/>
              </w:rPr>
              <w:t>Service provider</w:t>
            </w:r>
          </w:p>
        </w:tc>
        <w:tc>
          <w:tcPr>
            <w:tcW w:w="1559" w:type="dxa"/>
            <w:shd w:val="clear" w:color="auto" w:fill="DDF1F3"/>
          </w:tcPr>
          <w:p w14:paraId="6E460851" w14:textId="77777777" w:rsidR="009F2C10" w:rsidRPr="008D6AC4" w:rsidRDefault="009F2C10" w:rsidP="009F2C10">
            <w:pPr>
              <w:jc w:val="both"/>
              <w:rPr>
                <w:rFonts w:ascii="Verdana" w:hAnsi="Verdana"/>
                <w:b/>
                <w:bCs/>
                <w:sz w:val="22"/>
                <w:szCs w:val="22"/>
              </w:rPr>
            </w:pPr>
            <w:r w:rsidRPr="008D6AC4">
              <w:rPr>
                <w:rFonts w:ascii="Verdana" w:hAnsi="Verdana"/>
                <w:b/>
                <w:bCs/>
                <w:sz w:val="22"/>
                <w:szCs w:val="22"/>
              </w:rPr>
              <w:t>2020/21</w:t>
            </w:r>
          </w:p>
        </w:tc>
        <w:tc>
          <w:tcPr>
            <w:tcW w:w="1559" w:type="dxa"/>
            <w:shd w:val="clear" w:color="auto" w:fill="DDF1F3"/>
          </w:tcPr>
          <w:p w14:paraId="0FBA0710" w14:textId="77777777" w:rsidR="009F2C10" w:rsidRPr="008D6AC4" w:rsidRDefault="009F2C10" w:rsidP="009F2C10">
            <w:pPr>
              <w:jc w:val="both"/>
              <w:rPr>
                <w:rFonts w:ascii="Verdana" w:hAnsi="Verdana"/>
                <w:b/>
                <w:bCs/>
                <w:sz w:val="22"/>
                <w:szCs w:val="22"/>
              </w:rPr>
            </w:pPr>
            <w:r w:rsidRPr="008D6AC4">
              <w:rPr>
                <w:rFonts w:ascii="Verdana" w:hAnsi="Verdana"/>
                <w:b/>
                <w:bCs/>
                <w:sz w:val="22"/>
                <w:szCs w:val="22"/>
              </w:rPr>
              <w:t>2021/22</w:t>
            </w:r>
          </w:p>
        </w:tc>
        <w:tc>
          <w:tcPr>
            <w:tcW w:w="1560" w:type="dxa"/>
            <w:shd w:val="clear" w:color="auto" w:fill="DDF1F3"/>
          </w:tcPr>
          <w:p w14:paraId="6EAD9932" w14:textId="77777777" w:rsidR="009F2C10" w:rsidRPr="008D6AC4" w:rsidRDefault="009F2C10" w:rsidP="009F2C10">
            <w:pPr>
              <w:jc w:val="both"/>
              <w:rPr>
                <w:rFonts w:ascii="Verdana" w:hAnsi="Verdana"/>
                <w:b/>
                <w:bCs/>
                <w:sz w:val="22"/>
                <w:szCs w:val="22"/>
              </w:rPr>
            </w:pPr>
            <w:r w:rsidRPr="008D6AC4">
              <w:rPr>
                <w:rFonts w:ascii="Verdana" w:hAnsi="Verdana"/>
                <w:b/>
                <w:bCs/>
                <w:sz w:val="22"/>
                <w:szCs w:val="22"/>
              </w:rPr>
              <w:t>2022/23</w:t>
            </w:r>
          </w:p>
        </w:tc>
        <w:tc>
          <w:tcPr>
            <w:tcW w:w="1611" w:type="dxa"/>
            <w:shd w:val="clear" w:color="auto" w:fill="DDF1F3"/>
          </w:tcPr>
          <w:p w14:paraId="14DB0FB3" w14:textId="77777777" w:rsidR="009F2C10" w:rsidRPr="008D6AC4" w:rsidRDefault="009F2C10" w:rsidP="009F2C10">
            <w:pPr>
              <w:jc w:val="both"/>
              <w:rPr>
                <w:rFonts w:ascii="Verdana" w:hAnsi="Verdana"/>
                <w:b/>
                <w:bCs/>
                <w:sz w:val="22"/>
                <w:szCs w:val="22"/>
              </w:rPr>
            </w:pPr>
            <w:r w:rsidRPr="008D6AC4">
              <w:rPr>
                <w:rFonts w:ascii="Verdana" w:hAnsi="Verdana"/>
                <w:b/>
                <w:bCs/>
                <w:sz w:val="22"/>
                <w:szCs w:val="22"/>
              </w:rPr>
              <w:t>2023/2024</w:t>
            </w:r>
          </w:p>
        </w:tc>
      </w:tr>
      <w:tr w:rsidR="009F2C10" w:rsidRPr="008D6AC4" w14:paraId="000F0D12" w14:textId="77777777" w:rsidTr="0E4D9769">
        <w:trPr>
          <w:trHeight w:val="300"/>
        </w:trPr>
        <w:tc>
          <w:tcPr>
            <w:tcW w:w="2552" w:type="dxa"/>
          </w:tcPr>
          <w:p w14:paraId="20D0A2C8" w14:textId="77777777" w:rsidR="009F2C10" w:rsidRPr="008D6AC4" w:rsidRDefault="009F2C10" w:rsidP="009F2C10">
            <w:pPr>
              <w:jc w:val="both"/>
              <w:rPr>
                <w:rFonts w:ascii="Verdana" w:hAnsi="Verdana"/>
                <w:sz w:val="22"/>
                <w:szCs w:val="22"/>
              </w:rPr>
            </w:pPr>
            <w:r w:rsidRPr="008D6AC4">
              <w:rPr>
                <w:rFonts w:ascii="Verdana" w:hAnsi="Verdana"/>
                <w:sz w:val="22"/>
                <w:szCs w:val="22"/>
              </w:rPr>
              <w:t>KCHFT</w:t>
            </w:r>
          </w:p>
        </w:tc>
        <w:tc>
          <w:tcPr>
            <w:tcW w:w="1559" w:type="dxa"/>
          </w:tcPr>
          <w:p w14:paraId="7F018647" w14:textId="77777777" w:rsidR="009F2C10" w:rsidRPr="008D6AC4" w:rsidRDefault="009F2C10" w:rsidP="009F2C10">
            <w:pPr>
              <w:jc w:val="both"/>
              <w:rPr>
                <w:rFonts w:ascii="Verdana" w:hAnsi="Verdana"/>
                <w:sz w:val="22"/>
                <w:szCs w:val="22"/>
              </w:rPr>
            </w:pPr>
            <w:r w:rsidRPr="008D6AC4">
              <w:rPr>
                <w:rFonts w:ascii="Verdana" w:hAnsi="Verdana"/>
                <w:sz w:val="22"/>
                <w:szCs w:val="22"/>
              </w:rPr>
              <w:t>31,051</w:t>
            </w:r>
          </w:p>
        </w:tc>
        <w:tc>
          <w:tcPr>
            <w:tcW w:w="1559" w:type="dxa"/>
          </w:tcPr>
          <w:p w14:paraId="788957C3" w14:textId="77777777" w:rsidR="009F2C10" w:rsidRPr="008D6AC4" w:rsidRDefault="009F2C10" w:rsidP="009F2C10">
            <w:pPr>
              <w:jc w:val="both"/>
              <w:rPr>
                <w:rFonts w:ascii="Verdana" w:hAnsi="Verdana"/>
                <w:sz w:val="22"/>
                <w:szCs w:val="22"/>
              </w:rPr>
            </w:pPr>
            <w:r w:rsidRPr="008D6AC4">
              <w:rPr>
                <w:rFonts w:ascii="Verdana" w:hAnsi="Verdana"/>
                <w:sz w:val="22"/>
                <w:szCs w:val="22"/>
              </w:rPr>
              <w:t>33,583</w:t>
            </w:r>
          </w:p>
        </w:tc>
        <w:tc>
          <w:tcPr>
            <w:tcW w:w="1560" w:type="dxa"/>
          </w:tcPr>
          <w:p w14:paraId="47F8CB5A" w14:textId="77777777" w:rsidR="009F2C10" w:rsidRPr="008D6AC4" w:rsidRDefault="009F2C10" w:rsidP="009F2C10">
            <w:pPr>
              <w:jc w:val="both"/>
              <w:rPr>
                <w:rFonts w:ascii="Verdana" w:hAnsi="Verdana"/>
                <w:sz w:val="22"/>
                <w:szCs w:val="22"/>
              </w:rPr>
            </w:pPr>
            <w:r w:rsidRPr="008D6AC4">
              <w:rPr>
                <w:rFonts w:ascii="Verdana" w:hAnsi="Verdana"/>
                <w:sz w:val="22"/>
                <w:szCs w:val="22"/>
              </w:rPr>
              <w:t>32,845</w:t>
            </w:r>
          </w:p>
        </w:tc>
        <w:tc>
          <w:tcPr>
            <w:tcW w:w="1611" w:type="dxa"/>
          </w:tcPr>
          <w:p w14:paraId="2E9E0ABF" w14:textId="77777777" w:rsidR="009F2C10" w:rsidRPr="008D6AC4" w:rsidRDefault="009F2C10" w:rsidP="009F2C10">
            <w:pPr>
              <w:jc w:val="both"/>
              <w:rPr>
                <w:rFonts w:ascii="Verdana" w:hAnsi="Verdana"/>
                <w:sz w:val="22"/>
                <w:szCs w:val="22"/>
              </w:rPr>
            </w:pPr>
            <w:r w:rsidRPr="008D6AC4">
              <w:rPr>
                <w:rFonts w:ascii="Verdana" w:hAnsi="Verdana"/>
                <w:sz w:val="22"/>
                <w:szCs w:val="22"/>
              </w:rPr>
              <w:t>33,140</w:t>
            </w:r>
          </w:p>
        </w:tc>
      </w:tr>
      <w:tr w:rsidR="009F2C10" w:rsidRPr="008D6AC4" w14:paraId="4A7CF89F" w14:textId="77777777" w:rsidTr="0E4D9769">
        <w:trPr>
          <w:trHeight w:val="300"/>
        </w:trPr>
        <w:tc>
          <w:tcPr>
            <w:tcW w:w="2552" w:type="dxa"/>
          </w:tcPr>
          <w:p w14:paraId="5C750A2F" w14:textId="77777777" w:rsidR="009F2C10" w:rsidRPr="008D6AC4" w:rsidRDefault="009F2C10" w:rsidP="009F2C10">
            <w:pPr>
              <w:jc w:val="both"/>
              <w:rPr>
                <w:rFonts w:ascii="Verdana" w:hAnsi="Verdana"/>
                <w:sz w:val="22"/>
                <w:szCs w:val="22"/>
              </w:rPr>
            </w:pPr>
            <w:r w:rsidRPr="008D6AC4">
              <w:rPr>
                <w:rFonts w:ascii="Verdana" w:hAnsi="Verdana"/>
                <w:sz w:val="22"/>
                <w:szCs w:val="22"/>
              </w:rPr>
              <w:t>MTW</w:t>
            </w:r>
          </w:p>
        </w:tc>
        <w:tc>
          <w:tcPr>
            <w:tcW w:w="1559" w:type="dxa"/>
          </w:tcPr>
          <w:p w14:paraId="11149215" w14:textId="77777777" w:rsidR="009F2C10" w:rsidRPr="008D6AC4" w:rsidRDefault="009F2C10" w:rsidP="009F2C10">
            <w:pPr>
              <w:jc w:val="both"/>
              <w:rPr>
                <w:rFonts w:ascii="Verdana" w:hAnsi="Verdana"/>
                <w:sz w:val="22"/>
                <w:szCs w:val="22"/>
              </w:rPr>
            </w:pPr>
            <w:r w:rsidRPr="008D6AC4">
              <w:rPr>
                <w:rFonts w:ascii="Verdana" w:hAnsi="Verdana"/>
                <w:sz w:val="22"/>
                <w:szCs w:val="22"/>
              </w:rPr>
              <w:t>27,406</w:t>
            </w:r>
          </w:p>
        </w:tc>
        <w:tc>
          <w:tcPr>
            <w:tcW w:w="1559" w:type="dxa"/>
          </w:tcPr>
          <w:p w14:paraId="5D34EB0C" w14:textId="77777777" w:rsidR="009F2C10" w:rsidRPr="008D6AC4" w:rsidRDefault="009F2C10" w:rsidP="009F2C10">
            <w:pPr>
              <w:jc w:val="both"/>
              <w:rPr>
                <w:rFonts w:ascii="Verdana" w:hAnsi="Verdana"/>
                <w:sz w:val="22"/>
                <w:szCs w:val="22"/>
              </w:rPr>
            </w:pPr>
            <w:r w:rsidRPr="008D6AC4">
              <w:rPr>
                <w:rFonts w:ascii="Verdana" w:hAnsi="Verdana"/>
                <w:sz w:val="22"/>
                <w:szCs w:val="22"/>
              </w:rPr>
              <w:t>34,362</w:t>
            </w:r>
          </w:p>
        </w:tc>
        <w:tc>
          <w:tcPr>
            <w:tcW w:w="1560" w:type="dxa"/>
          </w:tcPr>
          <w:p w14:paraId="522A06C5" w14:textId="77777777" w:rsidR="009F2C10" w:rsidRPr="008D6AC4" w:rsidRDefault="009F2C10" w:rsidP="009F2C10">
            <w:pPr>
              <w:jc w:val="both"/>
              <w:rPr>
                <w:rFonts w:ascii="Verdana" w:hAnsi="Verdana"/>
                <w:sz w:val="22"/>
                <w:szCs w:val="22"/>
              </w:rPr>
            </w:pPr>
            <w:r w:rsidRPr="008D6AC4">
              <w:rPr>
                <w:rFonts w:ascii="Verdana" w:hAnsi="Verdana"/>
                <w:sz w:val="22"/>
                <w:szCs w:val="22"/>
              </w:rPr>
              <w:t>31,180</w:t>
            </w:r>
          </w:p>
        </w:tc>
        <w:tc>
          <w:tcPr>
            <w:tcW w:w="1611" w:type="dxa"/>
          </w:tcPr>
          <w:p w14:paraId="3152A47C" w14:textId="77777777" w:rsidR="009F2C10" w:rsidRPr="008D6AC4" w:rsidRDefault="009F2C10" w:rsidP="009F2C10">
            <w:pPr>
              <w:jc w:val="both"/>
              <w:rPr>
                <w:rFonts w:ascii="Verdana" w:hAnsi="Verdana"/>
                <w:sz w:val="22"/>
                <w:szCs w:val="22"/>
              </w:rPr>
            </w:pPr>
            <w:r w:rsidRPr="008D6AC4">
              <w:rPr>
                <w:rFonts w:ascii="Verdana" w:hAnsi="Verdana"/>
                <w:sz w:val="22"/>
                <w:szCs w:val="22"/>
              </w:rPr>
              <w:t>32,222</w:t>
            </w:r>
          </w:p>
        </w:tc>
      </w:tr>
      <w:tr w:rsidR="009F2C10" w:rsidRPr="008D6AC4" w14:paraId="0A34EB42" w14:textId="77777777" w:rsidTr="0E4D9769">
        <w:trPr>
          <w:trHeight w:val="300"/>
        </w:trPr>
        <w:tc>
          <w:tcPr>
            <w:tcW w:w="2552" w:type="dxa"/>
          </w:tcPr>
          <w:p w14:paraId="375AC1DB" w14:textId="77777777" w:rsidR="009F2C10" w:rsidRPr="008D6AC4" w:rsidRDefault="009F2C10" w:rsidP="009F2C10">
            <w:pPr>
              <w:jc w:val="both"/>
              <w:rPr>
                <w:rFonts w:ascii="Verdana" w:hAnsi="Verdana"/>
                <w:sz w:val="22"/>
                <w:szCs w:val="22"/>
              </w:rPr>
            </w:pPr>
            <w:r w:rsidRPr="008D6AC4">
              <w:rPr>
                <w:rFonts w:ascii="Verdana" w:hAnsi="Verdana"/>
                <w:sz w:val="22"/>
                <w:szCs w:val="22"/>
              </w:rPr>
              <w:t>Total</w:t>
            </w:r>
          </w:p>
        </w:tc>
        <w:tc>
          <w:tcPr>
            <w:tcW w:w="1559" w:type="dxa"/>
          </w:tcPr>
          <w:p w14:paraId="2FCBBD16" w14:textId="77777777" w:rsidR="009F2C10" w:rsidRPr="008D6AC4" w:rsidRDefault="009F2C10" w:rsidP="009F2C10">
            <w:pPr>
              <w:jc w:val="both"/>
              <w:rPr>
                <w:rFonts w:ascii="Verdana" w:hAnsi="Verdana"/>
                <w:sz w:val="22"/>
                <w:szCs w:val="22"/>
              </w:rPr>
            </w:pPr>
            <w:r w:rsidRPr="008D6AC4">
              <w:rPr>
                <w:rFonts w:ascii="Verdana" w:hAnsi="Verdana"/>
                <w:sz w:val="22"/>
                <w:szCs w:val="22"/>
              </w:rPr>
              <w:t>58,457</w:t>
            </w:r>
          </w:p>
        </w:tc>
        <w:tc>
          <w:tcPr>
            <w:tcW w:w="1559" w:type="dxa"/>
          </w:tcPr>
          <w:p w14:paraId="3621B641" w14:textId="77777777" w:rsidR="009F2C10" w:rsidRPr="008D6AC4" w:rsidRDefault="009F2C10" w:rsidP="009F2C10">
            <w:pPr>
              <w:jc w:val="both"/>
              <w:rPr>
                <w:rFonts w:ascii="Verdana" w:hAnsi="Verdana"/>
                <w:sz w:val="22"/>
                <w:szCs w:val="22"/>
              </w:rPr>
            </w:pPr>
            <w:r w:rsidRPr="008D6AC4">
              <w:rPr>
                <w:rFonts w:ascii="Verdana" w:hAnsi="Verdana"/>
                <w:sz w:val="22"/>
                <w:szCs w:val="22"/>
              </w:rPr>
              <w:t>67,945</w:t>
            </w:r>
          </w:p>
        </w:tc>
        <w:tc>
          <w:tcPr>
            <w:tcW w:w="1560" w:type="dxa"/>
          </w:tcPr>
          <w:p w14:paraId="4659BD78" w14:textId="77777777" w:rsidR="009F2C10" w:rsidRPr="008D6AC4" w:rsidRDefault="009F2C10" w:rsidP="009F2C10">
            <w:pPr>
              <w:jc w:val="both"/>
              <w:rPr>
                <w:rFonts w:ascii="Verdana" w:hAnsi="Verdana"/>
                <w:sz w:val="22"/>
                <w:szCs w:val="22"/>
              </w:rPr>
            </w:pPr>
            <w:r w:rsidRPr="008D6AC4">
              <w:rPr>
                <w:rFonts w:ascii="Verdana" w:hAnsi="Verdana"/>
                <w:sz w:val="22"/>
                <w:szCs w:val="22"/>
              </w:rPr>
              <w:t>64,025</w:t>
            </w:r>
          </w:p>
        </w:tc>
        <w:tc>
          <w:tcPr>
            <w:tcW w:w="1611" w:type="dxa"/>
          </w:tcPr>
          <w:p w14:paraId="7BC686F9" w14:textId="77777777" w:rsidR="009F2C10" w:rsidRPr="008D6AC4" w:rsidRDefault="009F2C10" w:rsidP="009F2C10">
            <w:pPr>
              <w:jc w:val="both"/>
              <w:rPr>
                <w:rFonts w:ascii="Verdana" w:hAnsi="Verdana"/>
                <w:sz w:val="22"/>
                <w:szCs w:val="22"/>
              </w:rPr>
            </w:pPr>
            <w:r w:rsidRPr="008D6AC4">
              <w:rPr>
                <w:rFonts w:ascii="Verdana" w:hAnsi="Verdana"/>
                <w:sz w:val="22"/>
                <w:szCs w:val="22"/>
              </w:rPr>
              <w:t>65,362</w:t>
            </w:r>
          </w:p>
        </w:tc>
      </w:tr>
    </w:tbl>
    <w:p w14:paraId="2B31EC90" w14:textId="77777777" w:rsidR="009F2C10" w:rsidRPr="008D6AC4" w:rsidRDefault="009F2C10" w:rsidP="009F2C10">
      <w:pPr>
        <w:jc w:val="both"/>
        <w:rPr>
          <w:rFonts w:ascii="Verdana" w:hAnsi="Verdana"/>
          <w:b/>
          <w:bCs/>
          <w:sz w:val="22"/>
          <w:szCs w:val="22"/>
        </w:rPr>
      </w:pPr>
      <w:r w:rsidRPr="008D6AC4">
        <w:rPr>
          <w:rFonts w:ascii="Verdana" w:hAnsi="Verdana"/>
          <w:b/>
          <w:bCs/>
          <w:sz w:val="22"/>
          <w:szCs w:val="22"/>
        </w:rPr>
        <w:t>Table 3: Number and % breakdown of service users in 2022/23 by provider and by sex, age, sexual orientation and ethnicity.</w:t>
      </w:r>
    </w:p>
    <w:tbl>
      <w:tblPr>
        <w:tblStyle w:val="TableGrid"/>
        <w:tblW w:w="0" w:type="auto"/>
        <w:tblInd w:w="108" w:type="dxa"/>
        <w:tblLook w:val="06A0" w:firstRow="1" w:lastRow="0" w:firstColumn="1" w:lastColumn="0" w:noHBand="1" w:noVBand="1"/>
      </w:tblPr>
      <w:tblGrid>
        <w:gridCol w:w="3686"/>
        <w:gridCol w:w="2551"/>
        <w:gridCol w:w="2552"/>
      </w:tblGrid>
      <w:tr w:rsidR="00027099" w:rsidRPr="008D6AC4" w14:paraId="7F834555" w14:textId="77777777" w:rsidTr="136F3BEB">
        <w:trPr>
          <w:trHeight w:val="300"/>
        </w:trPr>
        <w:tc>
          <w:tcPr>
            <w:tcW w:w="3686" w:type="dxa"/>
            <w:shd w:val="clear" w:color="auto" w:fill="DDF1F3"/>
          </w:tcPr>
          <w:p w14:paraId="354D22E2" w14:textId="77777777" w:rsidR="009F2C10" w:rsidRPr="008D6AC4" w:rsidRDefault="009F2C10" w:rsidP="00A02363">
            <w:pPr>
              <w:rPr>
                <w:rFonts w:ascii="Verdana" w:hAnsi="Verdana"/>
                <w:b/>
                <w:sz w:val="22"/>
                <w:szCs w:val="22"/>
              </w:rPr>
            </w:pPr>
          </w:p>
        </w:tc>
        <w:tc>
          <w:tcPr>
            <w:tcW w:w="2551" w:type="dxa"/>
            <w:shd w:val="clear" w:color="auto" w:fill="DDF1F3"/>
          </w:tcPr>
          <w:p w14:paraId="6B401862" w14:textId="77777777" w:rsidR="009F2C10" w:rsidRPr="008D6AC4" w:rsidRDefault="009F2C10" w:rsidP="00D837E2">
            <w:pPr>
              <w:rPr>
                <w:rFonts w:ascii="Verdana" w:hAnsi="Verdana"/>
                <w:b/>
                <w:sz w:val="22"/>
                <w:szCs w:val="22"/>
              </w:rPr>
            </w:pPr>
            <w:r w:rsidRPr="008D6AC4">
              <w:rPr>
                <w:rFonts w:ascii="Verdana" w:hAnsi="Verdana"/>
                <w:b/>
                <w:sz w:val="22"/>
                <w:szCs w:val="22"/>
              </w:rPr>
              <w:t xml:space="preserve">KCHFT – East Kent </w:t>
            </w:r>
          </w:p>
          <w:p w14:paraId="14F4511B" w14:textId="77777777" w:rsidR="009F2C10" w:rsidRPr="008D6AC4" w:rsidRDefault="009F2C10" w:rsidP="00D837E2">
            <w:pPr>
              <w:rPr>
                <w:rFonts w:ascii="Verdana" w:hAnsi="Verdana"/>
                <w:b/>
                <w:sz w:val="22"/>
                <w:szCs w:val="22"/>
              </w:rPr>
            </w:pPr>
            <w:r w:rsidRPr="008D6AC4">
              <w:rPr>
                <w:rFonts w:ascii="Verdana" w:hAnsi="Verdana"/>
                <w:b/>
                <w:sz w:val="22"/>
                <w:szCs w:val="22"/>
              </w:rPr>
              <w:t>N (%)</w:t>
            </w:r>
          </w:p>
        </w:tc>
        <w:tc>
          <w:tcPr>
            <w:tcW w:w="2552" w:type="dxa"/>
            <w:shd w:val="clear" w:color="auto" w:fill="DDF1F3"/>
          </w:tcPr>
          <w:p w14:paraId="7BD822B1" w14:textId="77777777" w:rsidR="009F2C10" w:rsidRPr="008D6AC4" w:rsidRDefault="009F2C10" w:rsidP="00D837E2">
            <w:pPr>
              <w:rPr>
                <w:rFonts w:ascii="Verdana" w:hAnsi="Verdana"/>
                <w:b/>
                <w:sz w:val="22"/>
                <w:szCs w:val="22"/>
              </w:rPr>
            </w:pPr>
            <w:r w:rsidRPr="008D6AC4">
              <w:rPr>
                <w:rFonts w:ascii="Verdana" w:hAnsi="Verdana"/>
                <w:b/>
                <w:sz w:val="22"/>
                <w:szCs w:val="22"/>
              </w:rPr>
              <w:t xml:space="preserve">MTW – North </w:t>
            </w:r>
            <w:r w:rsidR="00D837E2" w:rsidRPr="008D6AC4">
              <w:rPr>
                <w:rFonts w:ascii="Verdana" w:hAnsi="Verdana"/>
                <w:b/>
                <w:sz w:val="22"/>
                <w:szCs w:val="22"/>
              </w:rPr>
              <w:t>and</w:t>
            </w:r>
            <w:r w:rsidRPr="008D6AC4">
              <w:rPr>
                <w:rFonts w:ascii="Verdana" w:hAnsi="Verdana"/>
                <w:b/>
                <w:sz w:val="22"/>
                <w:szCs w:val="22"/>
              </w:rPr>
              <w:t xml:space="preserve"> West Kent</w:t>
            </w:r>
          </w:p>
          <w:p w14:paraId="2DB7CEBF" w14:textId="77777777" w:rsidR="009F2C10" w:rsidRPr="008D6AC4" w:rsidRDefault="009F2C10" w:rsidP="00D837E2">
            <w:pPr>
              <w:rPr>
                <w:rFonts w:ascii="Verdana" w:hAnsi="Verdana"/>
                <w:b/>
                <w:sz w:val="22"/>
                <w:szCs w:val="22"/>
              </w:rPr>
            </w:pPr>
            <w:r w:rsidRPr="008D6AC4">
              <w:rPr>
                <w:rFonts w:ascii="Verdana" w:hAnsi="Verdana"/>
                <w:b/>
                <w:sz w:val="22"/>
                <w:szCs w:val="22"/>
              </w:rPr>
              <w:t>N (%)</w:t>
            </w:r>
          </w:p>
        </w:tc>
      </w:tr>
      <w:tr w:rsidR="009F2C10" w:rsidRPr="008D6AC4" w14:paraId="75461A1F" w14:textId="77777777" w:rsidTr="136F3BEB">
        <w:trPr>
          <w:trHeight w:val="300"/>
        </w:trPr>
        <w:tc>
          <w:tcPr>
            <w:tcW w:w="3686" w:type="dxa"/>
          </w:tcPr>
          <w:p w14:paraId="6A07C6D0" w14:textId="77777777" w:rsidR="009F2C10" w:rsidRPr="008D6AC4" w:rsidRDefault="009F2C10" w:rsidP="00A02363">
            <w:pPr>
              <w:rPr>
                <w:rFonts w:ascii="Verdana" w:hAnsi="Verdana"/>
                <w:b/>
                <w:sz w:val="22"/>
                <w:szCs w:val="22"/>
              </w:rPr>
            </w:pPr>
            <w:r w:rsidRPr="008D6AC4">
              <w:rPr>
                <w:rFonts w:ascii="Verdana" w:hAnsi="Verdana"/>
                <w:sz w:val="22"/>
                <w:szCs w:val="22"/>
              </w:rPr>
              <w:t>Total</w:t>
            </w:r>
          </w:p>
        </w:tc>
        <w:tc>
          <w:tcPr>
            <w:tcW w:w="2551" w:type="dxa"/>
          </w:tcPr>
          <w:p w14:paraId="4762F9FF" w14:textId="77777777" w:rsidR="009F2C10" w:rsidRPr="008D6AC4" w:rsidRDefault="009F2C10" w:rsidP="009F2C10">
            <w:pPr>
              <w:jc w:val="both"/>
              <w:rPr>
                <w:rFonts w:ascii="Verdana" w:hAnsi="Verdana"/>
                <w:bCs/>
                <w:sz w:val="22"/>
                <w:szCs w:val="22"/>
              </w:rPr>
            </w:pPr>
            <w:r w:rsidRPr="008D6AC4">
              <w:rPr>
                <w:rFonts w:ascii="Verdana" w:hAnsi="Verdana"/>
                <w:bCs/>
                <w:sz w:val="22"/>
                <w:szCs w:val="22"/>
              </w:rPr>
              <w:t>32,844 (100.0%)</w:t>
            </w:r>
          </w:p>
        </w:tc>
        <w:tc>
          <w:tcPr>
            <w:tcW w:w="2552" w:type="dxa"/>
          </w:tcPr>
          <w:p w14:paraId="3B1D7CB6" w14:textId="77777777" w:rsidR="009F2C10" w:rsidRPr="008D6AC4" w:rsidRDefault="009F2C10" w:rsidP="009F2C10">
            <w:pPr>
              <w:jc w:val="both"/>
              <w:rPr>
                <w:rFonts w:ascii="Verdana" w:hAnsi="Verdana"/>
                <w:bCs/>
                <w:sz w:val="22"/>
                <w:szCs w:val="22"/>
              </w:rPr>
            </w:pPr>
            <w:r w:rsidRPr="008D6AC4">
              <w:rPr>
                <w:rFonts w:ascii="Verdana" w:hAnsi="Verdana"/>
                <w:bCs/>
                <w:sz w:val="22"/>
                <w:szCs w:val="22"/>
              </w:rPr>
              <w:t>31,182 (100.0%)</w:t>
            </w:r>
          </w:p>
        </w:tc>
      </w:tr>
      <w:tr w:rsidR="009F2C10" w:rsidRPr="008D6AC4" w14:paraId="47B57F42" w14:textId="77777777" w:rsidTr="136F3BEB">
        <w:trPr>
          <w:trHeight w:val="300"/>
        </w:trPr>
        <w:tc>
          <w:tcPr>
            <w:tcW w:w="8789" w:type="dxa"/>
            <w:gridSpan w:val="3"/>
            <w:shd w:val="clear" w:color="auto" w:fill="DDF1F3"/>
          </w:tcPr>
          <w:p w14:paraId="1D650675" w14:textId="77777777" w:rsidR="009F2C10" w:rsidRPr="008D6AC4" w:rsidRDefault="009F2C10" w:rsidP="00A02363">
            <w:pPr>
              <w:rPr>
                <w:rFonts w:ascii="Verdana" w:hAnsi="Verdana"/>
                <w:b/>
                <w:sz w:val="22"/>
                <w:szCs w:val="22"/>
              </w:rPr>
            </w:pPr>
            <w:r w:rsidRPr="008D6AC4">
              <w:rPr>
                <w:rFonts w:ascii="Verdana" w:hAnsi="Verdana"/>
                <w:b/>
                <w:sz w:val="22"/>
                <w:szCs w:val="22"/>
              </w:rPr>
              <w:t>Sex</w:t>
            </w:r>
          </w:p>
        </w:tc>
      </w:tr>
      <w:tr w:rsidR="009F2C10" w:rsidRPr="008D6AC4" w14:paraId="4862BE69" w14:textId="77777777" w:rsidTr="136F3BEB">
        <w:trPr>
          <w:trHeight w:val="300"/>
        </w:trPr>
        <w:tc>
          <w:tcPr>
            <w:tcW w:w="3686" w:type="dxa"/>
          </w:tcPr>
          <w:p w14:paraId="18DFEF21" w14:textId="77777777" w:rsidR="009F2C10" w:rsidRPr="008D6AC4" w:rsidRDefault="009F2C10" w:rsidP="00A02363">
            <w:pPr>
              <w:rPr>
                <w:rFonts w:ascii="Verdana" w:hAnsi="Verdana"/>
                <w:sz w:val="22"/>
                <w:szCs w:val="22"/>
              </w:rPr>
            </w:pPr>
            <w:r w:rsidRPr="008D6AC4">
              <w:rPr>
                <w:rFonts w:ascii="Verdana" w:hAnsi="Verdana"/>
                <w:sz w:val="22"/>
                <w:szCs w:val="22"/>
              </w:rPr>
              <w:t>Male</w:t>
            </w:r>
          </w:p>
        </w:tc>
        <w:tc>
          <w:tcPr>
            <w:tcW w:w="2551" w:type="dxa"/>
          </w:tcPr>
          <w:p w14:paraId="61E58AE5" w14:textId="77777777" w:rsidR="009F2C10" w:rsidRPr="008D6AC4" w:rsidRDefault="009F2C10" w:rsidP="009F2C10">
            <w:pPr>
              <w:jc w:val="both"/>
              <w:rPr>
                <w:rFonts w:ascii="Verdana" w:hAnsi="Verdana"/>
                <w:sz w:val="22"/>
                <w:szCs w:val="22"/>
              </w:rPr>
            </w:pPr>
            <w:r w:rsidRPr="008D6AC4">
              <w:rPr>
                <w:rFonts w:ascii="Verdana" w:hAnsi="Verdana"/>
                <w:sz w:val="22"/>
                <w:szCs w:val="22"/>
              </w:rPr>
              <w:t>12,034 (36.6%)</w:t>
            </w:r>
          </w:p>
        </w:tc>
        <w:tc>
          <w:tcPr>
            <w:tcW w:w="2552" w:type="dxa"/>
          </w:tcPr>
          <w:p w14:paraId="3E0E5F17" w14:textId="77777777" w:rsidR="009F2C10" w:rsidRPr="008D6AC4" w:rsidRDefault="009F2C10" w:rsidP="009F2C10">
            <w:pPr>
              <w:jc w:val="both"/>
              <w:rPr>
                <w:rFonts w:ascii="Verdana" w:hAnsi="Verdana"/>
                <w:sz w:val="22"/>
                <w:szCs w:val="22"/>
              </w:rPr>
            </w:pPr>
            <w:r w:rsidRPr="008D6AC4">
              <w:rPr>
                <w:rFonts w:ascii="Verdana" w:hAnsi="Verdana"/>
                <w:sz w:val="22"/>
                <w:szCs w:val="22"/>
              </w:rPr>
              <w:t>9,807 (31.5%)</w:t>
            </w:r>
          </w:p>
        </w:tc>
      </w:tr>
      <w:tr w:rsidR="009F2C10" w:rsidRPr="008D6AC4" w14:paraId="5CE021DD" w14:textId="77777777" w:rsidTr="136F3BEB">
        <w:trPr>
          <w:trHeight w:val="300"/>
        </w:trPr>
        <w:tc>
          <w:tcPr>
            <w:tcW w:w="3686" w:type="dxa"/>
          </w:tcPr>
          <w:p w14:paraId="0F2F9FCF" w14:textId="77777777" w:rsidR="009F2C10" w:rsidRPr="008D6AC4" w:rsidRDefault="009F2C10" w:rsidP="00A02363">
            <w:pPr>
              <w:rPr>
                <w:rFonts w:ascii="Verdana" w:hAnsi="Verdana"/>
                <w:sz w:val="22"/>
                <w:szCs w:val="22"/>
              </w:rPr>
            </w:pPr>
            <w:r w:rsidRPr="008D6AC4">
              <w:rPr>
                <w:rFonts w:ascii="Verdana" w:hAnsi="Verdana"/>
                <w:sz w:val="22"/>
                <w:szCs w:val="22"/>
              </w:rPr>
              <w:t>Female</w:t>
            </w:r>
          </w:p>
        </w:tc>
        <w:tc>
          <w:tcPr>
            <w:tcW w:w="2551" w:type="dxa"/>
          </w:tcPr>
          <w:p w14:paraId="31127DA0" w14:textId="77777777" w:rsidR="009F2C10" w:rsidRPr="008D6AC4" w:rsidRDefault="009F2C10" w:rsidP="009F2C10">
            <w:pPr>
              <w:jc w:val="both"/>
              <w:rPr>
                <w:rFonts w:ascii="Verdana" w:hAnsi="Verdana"/>
                <w:sz w:val="22"/>
                <w:szCs w:val="22"/>
              </w:rPr>
            </w:pPr>
            <w:r w:rsidRPr="008D6AC4">
              <w:rPr>
                <w:rFonts w:ascii="Verdana" w:hAnsi="Verdana"/>
                <w:sz w:val="22"/>
                <w:szCs w:val="22"/>
              </w:rPr>
              <w:t>20,810 (63.4%)</w:t>
            </w:r>
          </w:p>
        </w:tc>
        <w:tc>
          <w:tcPr>
            <w:tcW w:w="2552" w:type="dxa"/>
          </w:tcPr>
          <w:p w14:paraId="2D6A2A29" w14:textId="77777777" w:rsidR="009F2C10" w:rsidRPr="008D6AC4" w:rsidRDefault="009F2C10" w:rsidP="009F2C10">
            <w:pPr>
              <w:jc w:val="both"/>
              <w:rPr>
                <w:rFonts w:ascii="Verdana" w:hAnsi="Verdana"/>
                <w:sz w:val="22"/>
                <w:szCs w:val="22"/>
              </w:rPr>
            </w:pPr>
            <w:r w:rsidRPr="008D6AC4">
              <w:rPr>
                <w:rFonts w:ascii="Verdana" w:hAnsi="Verdana"/>
                <w:sz w:val="22"/>
                <w:szCs w:val="22"/>
              </w:rPr>
              <w:t>21,375 (68.5%)</w:t>
            </w:r>
          </w:p>
        </w:tc>
      </w:tr>
      <w:tr w:rsidR="00A02363" w:rsidRPr="008D6AC4" w14:paraId="181A3029" w14:textId="77777777" w:rsidTr="136F3BEB">
        <w:trPr>
          <w:trHeight w:val="300"/>
        </w:trPr>
        <w:tc>
          <w:tcPr>
            <w:tcW w:w="3686" w:type="dxa"/>
            <w:tcBorders>
              <w:right w:val="single" w:sz="4" w:space="0" w:color="D7EFF1"/>
            </w:tcBorders>
            <w:shd w:val="clear" w:color="auto" w:fill="DDF1F3"/>
          </w:tcPr>
          <w:p w14:paraId="1D7FF341" w14:textId="77777777" w:rsidR="00A02363" w:rsidRPr="008D6AC4" w:rsidRDefault="00A02363" w:rsidP="00A02363">
            <w:pPr>
              <w:rPr>
                <w:rFonts w:ascii="Verdana" w:hAnsi="Verdana"/>
                <w:sz w:val="22"/>
                <w:szCs w:val="22"/>
              </w:rPr>
            </w:pPr>
            <w:r w:rsidRPr="008D6AC4">
              <w:rPr>
                <w:rFonts w:ascii="Verdana" w:hAnsi="Verdana"/>
                <w:b/>
                <w:sz w:val="22"/>
                <w:szCs w:val="22"/>
              </w:rPr>
              <w:lastRenderedPageBreak/>
              <w:t>Age</w:t>
            </w:r>
          </w:p>
        </w:tc>
        <w:tc>
          <w:tcPr>
            <w:tcW w:w="2551" w:type="dxa"/>
            <w:tcBorders>
              <w:left w:val="single" w:sz="4" w:space="0" w:color="D7EFF1"/>
              <w:right w:val="single" w:sz="4" w:space="0" w:color="D7EFF1"/>
            </w:tcBorders>
            <w:shd w:val="clear" w:color="auto" w:fill="DDF1F3"/>
          </w:tcPr>
          <w:p w14:paraId="50A3C187" w14:textId="77777777" w:rsidR="00A02363" w:rsidRPr="008D6AC4" w:rsidRDefault="00A02363" w:rsidP="00A02363">
            <w:pPr>
              <w:rPr>
                <w:rFonts w:ascii="Verdana" w:hAnsi="Verdana"/>
                <w:sz w:val="22"/>
                <w:szCs w:val="22"/>
              </w:rPr>
            </w:pPr>
          </w:p>
        </w:tc>
        <w:tc>
          <w:tcPr>
            <w:tcW w:w="2552" w:type="dxa"/>
            <w:tcBorders>
              <w:left w:val="single" w:sz="4" w:space="0" w:color="D7EFF1"/>
            </w:tcBorders>
            <w:shd w:val="clear" w:color="auto" w:fill="DDF1F3"/>
          </w:tcPr>
          <w:p w14:paraId="35444BBC" w14:textId="77777777" w:rsidR="00A02363" w:rsidRPr="008D6AC4" w:rsidRDefault="00A02363" w:rsidP="00A02363">
            <w:pPr>
              <w:rPr>
                <w:rFonts w:ascii="Verdana" w:hAnsi="Verdana"/>
                <w:sz w:val="22"/>
                <w:szCs w:val="22"/>
              </w:rPr>
            </w:pPr>
          </w:p>
        </w:tc>
      </w:tr>
      <w:tr w:rsidR="009F2C10" w:rsidRPr="008D6AC4" w14:paraId="1D8C45F5" w14:textId="77777777" w:rsidTr="136F3BEB">
        <w:trPr>
          <w:trHeight w:val="300"/>
        </w:trPr>
        <w:tc>
          <w:tcPr>
            <w:tcW w:w="3686" w:type="dxa"/>
          </w:tcPr>
          <w:p w14:paraId="3FB64599" w14:textId="77777777" w:rsidR="009F2C10" w:rsidRPr="008D6AC4" w:rsidRDefault="009F2C10" w:rsidP="00C05CD9">
            <w:pPr>
              <w:ind w:left="720"/>
              <w:rPr>
                <w:rFonts w:ascii="Verdana" w:hAnsi="Verdana"/>
                <w:sz w:val="22"/>
                <w:szCs w:val="22"/>
              </w:rPr>
            </w:pPr>
            <w:r w:rsidRPr="008D6AC4">
              <w:rPr>
                <w:rFonts w:ascii="Verdana" w:hAnsi="Verdana"/>
                <w:sz w:val="22"/>
                <w:szCs w:val="22"/>
              </w:rPr>
              <w:t>&lt;10</w:t>
            </w:r>
          </w:p>
        </w:tc>
        <w:tc>
          <w:tcPr>
            <w:tcW w:w="2551" w:type="dxa"/>
          </w:tcPr>
          <w:p w14:paraId="4E98DAF8" w14:textId="77777777" w:rsidR="009F2C10" w:rsidRPr="008D6AC4" w:rsidRDefault="009F2C10" w:rsidP="009F2C10">
            <w:pPr>
              <w:jc w:val="both"/>
              <w:rPr>
                <w:rFonts w:ascii="Verdana" w:hAnsi="Verdana"/>
                <w:sz w:val="22"/>
                <w:szCs w:val="22"/>
              </w:rPr>
            </w:pPr>
            <w:r w:rsidRPr="008D6AC4">
              <w:rPr>
                <w:rFonts w:ascii="Verdana" w:hAnsi="Verdana"/>
                <w:sz w:val="22"/>
                <w:szCs w:val="22"/>
              </w:rPr>
              <w:t>0 (0.0%)</w:t>
            </w:r>
          </w:p>
        </w:tc>
        <w:tc>
          <w:tcPr>
            <w:tcW w:w="2552" w:type="dxa"/>
          </w:tcPr>
          <w:p w14:paraId="59153482" w14:textId="77777777" w:rsidR="009F2C10" w:rsidRPr="008D6AC4" w:rsidRDefault="009F2C10" w:rsidP="009F2C10">
            <w:pPr>
              <w:jc w:val="both"/>
              <w:rPr>
                <w:rFonts w:ascii="Verdana" w:hAnsi="Verdana"/>
                <w:sz w:val="22"/>
                <w:szCs w:val="22"/>
              </w:rPr>
            </w:pPr>
            <w:r w:rsidRPr="008D6AC4">
              <w:rPr>
                <w:rFonts w:ascii="Verdana" w:hAnsi="Verdana"/>
                <w:sz w:val="22"/>
                <w:szCs w:val="22"/>
              </w:rPr>
              <w:t>16 (0.1%)</w:t>
            </w:r>
          </w:p>
        </w:tc>
      </w:tr>
      <w:tr w:rsidR="009F2C10" w:rsidRPr="008D6AC4" w14:paraId="6175700B" w14:textId="77777777" w:rsidTr="136F3BEB">
        <w:trPr>
          <w:trHeight w:val="300"/>
        </w:trPr>
        <w:tc>
          <w:tcPr>
            <w:tcW w:w="3686" w:type="dxa"/>
          </w:tcPr>
          <w:p w14:paraId="29647C9B" w14:textId="77777777" w:rsidR="009F2C10" w:rsidRPr="008D6AC4" w:rsidRDefault="009F2C10" w:rsidP="00C05CD9">
            <w:pPr>
              <w:ind w:left="720"/>
              <w:rPr>
                <w:rFonts w:ascii="Verdana" w:hAnsi="Verdana"/>
                <w:sz w:val="22"/>
                <w:szCs w:val="22"/>
              </w:rPr>
            </w:pPr>
            <w:r w:rsidRPr="008D6AC4">
              <w:rPr>
                <w:rFonts w:ascii="Verdana" w:hAnsi="Verdana"/>
                <w:sz w:val="22"/>
                <w:szCs w:val="22"/>
              </w:rPr>
              <w:t>10 to 19</w:t>
            </w:r>
          </w:p>
        </w:tc>
        <w:tc>
          <w:tcPr>
            <w:tcW w:w="2551" w:type="dxa"/>
          </w:tcPr>
          <w:p w14:paraId="0F0D0D6B" w14:textId="77777777" w:rsidR="009F2C10" w:rsidRPr="008D6AC4" w:rsidRDefault="009F2C10" w:rsidP="009F2C10">
            <w:pPr>
              <w:jc w:val="both"/>
              <w:rPr>
                <w:rFonts w:ascii="Verdana" w:hAnsi="Verdana"/>
                <w:sz w:val="22"/>
                <w:szCs w:val="22"/>
              </w:rPr>
            </w:pPr>
            <w:r w:rsidRPr="008D6AC4">
              <w:rPr>
                <w:rFonts w:ascii="Verdana" w:hAnsi="Verdana"/>
                <w:sz w:val="22"/>
                <w:szCs w:val="22"/>
              </w:rPr>
              <w:t>5,420 (16.5%)</w:t>
            </w:r>
          </w:p>
        </w:tc>
        <w:tc>
          <w:tcPr>
            <w:tcW w:w="2552" w:type="dxa"/>
          </w:tcPr>
          <w:p w14:paraId="02C883D0" w14:textId="77777777" w:rsidR="009F2C10" w:rsidRPr="008D6AC4" w:rsidRDefault="009F2C10" w:rsidP="009F2C10">
            <w:pPr>
              <w:jc w:val="both"/>
              <w:rPr>
                <w:rFonts w:ascii="Verdana" w:hAnsi="Verdana"/>
                <w:sz w:val="22"/>
                <w:szCs w:val="22"/>
              </w:rPr>
            </w:pPr>
            <w:r w:rsidRPr="008D6AC4">
              <w:rPr>
                <w:rFonts w:ascii="Verdana" w:hAnsi="Verdana"/>
                <w:sz w:val="22"/>
                <w:szCs w:val="22"/>
              </w:rPr>
              <w:t>5,080 (16.3%)</w:t>
            </w:r>
          </w:p>
        </w:tc>
      </w:tr>
      <w:tr w:rsidR="009F2C10" w:rsidRPr="008D6AC4" w14:paraId="562561C6" w14:textId="77777777" w:rsidTr="136F3BEB">
        <w:trPr>
          <w:trHeight w:val="300"/>
        </w:trPr>
        <w:tc>
          <w:tcPr>
            <w:tcW w:w="3686" w:type="dxa"/>
          </w:tcPr>
          <w:p w14:paraId="715839A6" w14:textId="77777777" w:rsidR="009F2C10" w:rsidRPr="008D6AC4" w:rsidRDefault="009F2C10" w:rsidP="00C05CD9">
            <w:pPr>
              <w:ind w:left="720"/>
              <w:rPr>
                <w:rFonts w:ascii="Verdana" w:hAnsi="Verdana"/>
                <w:sz w:val="22"/>
                <w:szCs w:val="22"/>
              </w:rPr>
            </w:pPr>
            <w:r w:rsidRPr="008D6AC4">
              <w:rPr>
                <w:rFonts w:ascii="Verdana" w:hAnsi="Verdana"/>
                <w:sz w:val="22"/>
                <w:szCs w:val="22"/>
              </w:rPr>
              <w:t>20 to 29</w:t>
            </w:r>
          </w:p>
        </w:tc>
        <w:tc>
          <w:tcPr>
            <w:tcW w:w="2551" w:type="dxa"/>
          </w:tcPr>
          <w:p w14:paraId="60A89C79" w14:textId="77777777" w:rsidR="009F2C10" w:rsidRPr="008D6AC4" w:rsidRDefault="009F2C10" w:rsidP="009F2C10">
            <w:pPr>
              <w:jc w:val="both"/>
              <w:rPr>
                <w:rFonts w:ascii="Verdana" w:hAnsi="Verdana"/>
                <w:sz w:val="22"/>
                <w:szCs w:val="22"/>
              </w:rPr>
            </w:pPr>
            <w:r w:rsidRPr="008D6AC4">
              <w:rPr>
                <w:rFonts w:ascii="Verdana" w:hAnsi="Verdana"/>
                <w:sz w:val="22"/>
                <w:szCs w:val="22"/>
              </w:rPr>
              <w:t>11,947 (36.4%)</w:t>
            </w:r>
          </w:p>
        </w:tc>
        <w:tc>
          <w:tcPr>
            <w:tcW w:w="2552" w:type="dxa"/>
          </w:tcPr>
          <w:p w14:paraId="3F87C1DF" w14:textId="77777777" w:rsidR="009F2C10" w:rsidRPr="008D6AC4" w:rsidRDefault="009F2C10" w:rsidP="009F2C10">
            <w:pPr>
              <w:jc w:val="both"/>
              <w:rPr>
                <w:rFonts w:ascii="Verdana" w:hAnsi="Verdana"/>
                <w:sz w:val="22"/>
                <w:szCs w:val="22"/>
              </w:rPr>
            </w:pPr>
            <w:r w:rsidRPr="008D6AC4">
              <w:rPr>
                <w:rFonts w:ascii="Verdana" w:hAnsi="Verdana"/>
                <w:sz w:val="22"/>
                <w:szCs w:val="22"/>
              </w:rPr>
              <w:t>10,107 (32.4%)</w:t>
            </w:r>
          </w:p>
        </w:tc>
      </w:tr>
      <w:tr w:rsidR="009F2C10" w:rsidRPr="008D6AC4" w14:paraId="10D7104F" w14:textId="77777777" w:rsidTr="136F3BEB">
        <w:trPr>
          <w:trHeight w:val="300"/>
        </w:trPr>
        <w:tc>
          <w:tcPr>
            <w:tcW w:w="3686" w:type="dxa"/>
          </w:tcPr>
          <w:p w14:paraId="7324D9FE" w14:textId="77777777" w:rsidR="009F2C10" w:rsidRPr="008D6AC4" w:rsidRDefault="009F2C10" w:rsidP="00C05CD9">
            <w:pPr>
              <w:ind w:left="720"/>
              <w:rPr>
                <w:rFonts w:ascii="Verdana" w:hAnsi="Verdana"/>
                <w:sz w:val="22"/>
                <w:szCs w:val="22"/>
              </w:rPr>
            </w:pPr>
            <w:r w:rsidRPr="008D6AC4">
              <w:rPr>
                <w:rFonts w:ascii="Verdana" w:hAnsi="Verdana"/>
                <w:sz w:val="22"/>
                <w:szCs w:val="22"/>
              </w:rPr>
              <w:t>30 to 39</w:t>
            </w:r>
          </w:p>
        </w:tc>
        <w:tc>
          <w:tcPr>
            <w:tcW w:w="2551" w:type="dxa"/>
          </w:tcPr>
          <w:p w14:paraId="67CBE925" w14:textId="77777777" w:rsidR="009F2C10" w:rsidRPr="008D6AC4" w:rsidRDefault="009F2C10" w:rsidP="009F2C10">
            <w:pPr>
              <w:jc w:val="both"/>
              <w:rPr>
                <w:rFonts w:ascii="Verdana" w:hAnsi="Verdana"/>
                <w:sz w:val="22"/>
                <w:szCs w:val="22"/>
              </w:rPr>
            </w:pPr>
            <w:r w:rsidRPr="008D6AC4">
              <w:rPr>
                <w:rFonts w:ascii="Verdana" w:hAnsi="Verdana"/>
                <w:sz w:val="22"/>
                <w:szCs w:val="22"/>
              </w:rPr>
              <w:t>7,261 (22.1%)</w:t>
            </w:r>
          </w:p>
        </w:tc>
        <w:tc>
          <w:tcPr>
            <w:tcW w:w="2552" w:type="dxa"/>
          </w:tcPr>
          <w:p w14:paraId="14BC24A8" w14:textId="77777777" w:rsidR="009F2C10" w:rsidRPr="008D6AC4" w:rsidRDefault="009F2C10" w:rsidP="009F2C10">
            <w:pPr>
              <w:jc w:val="both"/>
              <w:rPr>
                <w:rFonts w:ascii="Verdana" w:hAnsi="Verdana"/>
                <w:sz w:val="22"/>
                <w:szCs w:val="22"/>
              </w:rPr>
            </w:pPr>
            <w:r w:rsidRPr="008D6AC4">
              <w:rPr>
                <w:rFonts w:ascii="Verdana" w:hAnsi="Verdana"/>
                <w:sz w:val="22"/>
                <w:szCs w:val="22"/>
              </w:rPr>
              <w:t>7,770 (24.9%)</w:t>
            </w:r>
          </w:p>
        </w:tc>
      </w:tr>
      <w:tr w:rsidR="009F2C10" w:rsidRPr="008D6AC4" w14:paraId="788A58BA" w14:textId="77777777" w:rsidTr="136F3BEB">
        <w:trPr>
          <w:trHeight w:val="300"/>
        </w:trPr>
        <w:tc>
          <w:tcPr>
            <w:tcW w:w="3686" w:type="dxa"/>
          </w:tcPr>
          <w:p w14:paraId="259960EC" w14:textId="77777777" w:rsidR="009F2C10" w:rsidRPr="008D6AC4" w:rsidRDefault="009F2C10" w:rsidP="00C05CD9">
            <w:pPr>
              <w:ind w:left="720"/>
              <w:rPr>
                <w:rFonts w:ascii="Verdana" w:hAnsi="Verdana"/>
                <w:sz w:val="22"/>
                <w:szCs w:val="22"/>
              </w:rPr>
            </w:pPr>
            <w:r w:rsidRPr="008D6AC4">
              <w:rPr>
                <w:rFonts w:ascii="Verdana" w:hAnsi="Verdana"/>
                <w:sz w:val="22"/>
                <w:szCs w:val="22"/>
              </w:rPr>
              <w:t>40 to 49</w:t>
            </w:r>
          </w:p>
        </w:tc>
        <w:tc>
          <w:tcPr>
            <w:tcW w:w="2551" w:type="dxa"/>
          </w:tcPr>
          <w:p w14:paraId="0827F662" w14:textId="77777777" w:rsidR="009F2C10" w:rsidRPr="008D6AC4" w:rsidRDefault="009F2C10" w:rsidP="009F2C10">
            <w:pPr>
              <w:jc w:val="both"/>
              <w:rPr>
                <w:rFonts w:ascii="Verdana" w:hAnsi="Verdana"/>
                <w:sz w:val="22"/>
                <w:szCs w:val="22"/>
              </w:rPr>
            </w:pPr>
            <w:r w:rsidRPr="008D6AC4">
              <w:rPr>
                <w:rFonts w:ascii="Verdana" w:hAnsi="Verdana"/>
                <w:sz w:val="22"/>
                <w:szCs w:val="22"/>
              </w:rPr>
              <w:t>3,956 (12.0%)</w:t>
            </w:r>
          </w:p>
        </w:tc>
        <w:tc>
          <w:tcPr>
            <w:tcW w:w="2552" w:type="dxa"/>
          </w:tcPr>
          <w:p w14:paraId="0023CD5F" w14:textId="77777777" w:rsidR="009F2C10" w:rsidRPr="008D6AC4" w:rsidRDefault="009F2C10" w:rsidP="009F2C10">
            <w:pPr>
              <w:jc w:val="both"/>
              <w:rPr>
                <w:rFonts w:ascii="Verdana" w:hAnsi="Verdana"/>
                <w:sz w:val="22"/>
                <w:szCs w:val="22"/>
              </w:rPr>
            </w:pPr>
            <w:r w:rsidRPr="008D6AC4">
              <w:rPr>
                <w:rFonts w:ascii="Verdana" w:hAnsi="Verdana"/>
                <w:sz w:val="22"/>
                <w:szCs w:val="22"/>
              </w:rPr>
              <w:t>4,832 (15.5%)</w:t>
            </w:r>
          </w:p>
        </w:tc>
      </w:tr>
      <w:tr w:rsidR="009F2C10" w:rsidRPr="008D6AC4" w14:paraId="1473F606" w14:textId="77777777" w:rsidTr="136F3BEB">
        <w:trPr>
          <w:trHeight w:val="300"/>
        </w:trPr>
        <w:tc>
          <w:tcPr>
            <w:tcW w:w="3686" w:type="dxa"/>
          </w:tcPr>
          <w:p w14:paraId="6E7ABFA5" w14:textId="77777777" w:rsidR="009F2C10" w:rsidRPr="008D6AC4" w:rsidRDefault="009F2C10" w:rsidP="00C05CD9">
            <w:pPr>
              <w:ind w:left="720"/>
              <w:rPr>
                <w:rFonts w:ascii="Verdana" w:hAnsi="Verdana"/>
                <w:sz w:val="22"/>
                <w:szCs w:val="22"/>
              </w:rPr>
            </w:pPr>
            <w:r w:rsidRPr="008D6AC4">
              <w:rPr>
                <w:rFonts w:ascii="Verdana" w:hAnsi="Verdana"/>
                <w:sz w:val="22"/>
                <w:szCs w:val="22"/>
              </w:rPr>
              <w:t>50 to 59</w:t>
            </w:r>
          </w:p>
        </w:tc>
        <w:tc>
          <w:tcPr>
            <w:tcW w:w="2551" w:type="dxa"/>
          </w:tcPr>
          <w:p w14:paraId="761710B4" w14:textId="77777777" w:rsidR="009F2C10" w:rsidRPr="008D6AC4" w:rsidRDefault="009F2C10" w:rsidP="009F2C10">
            <w:pPr>
              <w:jc w:val="both"/>
              <w:rPr>
                <w:rFonts w:ascii="Verdana" w:hAnsi="Verdana"/>
                <w:sz w:val="22"/>
                <w:szCs w:val="22"/>
              </w:rPr>
            </w:pPr>
            <w:r w:rsidRPr="008D6AC4">
              <w:rPr>
                <w:rFonts w:ascii="Verdana" w:hAnsi="Verdana"/>
                <w:sz w:val="22"/>
                <w:szCs w:val="22"/>
              </w:rPr>
              <w:t>2,773 (8.4%)</w:t>
            </w:r>
          </w:p>
        </w:tc>
        <w:tc>
          <w:tcPr>
            <w:tcW w:w="2552" w:type="dxa"/>
          </w:tcPr>
          <w:p w14:paraId="6DE8BBA7" w14:textId="77777777" w:rsidR="009F2C10" w:rsidRPr="008D6AC4" w:rsidRDefault="009F2C10" w:rsidP="009F2C10">
            <w:pPr>
              <w:jc w:val="both"/>
              <w:rPr>
                <w:rFonts w:ascii="Verdana" w:hAnsi="Verdana"/>
                <w:sz w:val="22"/>
                <w:szCs w:val="22"/>
              </w:rPr>
            </w:pPr>
            <w:r w:rsidRPr="008D6AC4">
              <w:rPr>
                <w:rFonts w:ascii="Verdana" w:hAnsi="Verdana"/>
                <w:sz w:val="22"/>
                <w:szCs w:val="22"/>
              </w:rPr>
              <w:t>2,434 (7.8%)</w:t>
            </w:r>
          </w:p>
        </w:tc>
      </w:tr>
      <w:tr w:rsidR="009F2C10" w:rsidRPr="008D6AC4" w14:paraId="1EDAC1B3" w14:textId="77777777" w:rsidTr="136F3BEB">
        <w:trPr>
          <w:trHeight w:val="300"/>
        </w:trPr>
        <w:tc>
          <w:tcPr>
            <w:tcW w:w="3686" w:type="dxa"/>
          </w:tcPr>
          <w:p w14:paraId="3FB1FD80" w14:textId="77777777" w:rsidR="009F2C10" w:rsidRPr="008D6AC4" w:rsidRDefault="009F2C10" w:rsidP="00C05CD9">
            <w:pPr>
              <w:ind w:left="720"/>
              <w:rPr>
                <w:rFonts w:ascii="Verdana" w:hAnsi="Verdana"/>
                <w:sz w:val="22"/>
                <w:szCs w:val="22"/>
              </w:rPr>
            </w:pPr>
            <w:r w:rsidRPr="008D6AC4">
              <w:rPr>
                <w:rFonts w:ascii="Verdana" w:hAnsi="Verdana"/>
                <w:sz w:val="22"/>
                <w:szCs w:val="22"/>
              </w:rPr>
              <w:t>60 to 69</w:t>
            </w:r>
          </w:p>
        </w:tc>
        <w:tc>
          <w:tcPr>
            <w:tcW w:w="2551" w:type="dxa"/>
          </w:tcPr>
          <w:p w14:paraId="2A56EF9E" w14:textId="77777777" w:rsidR="009F2C10" w:rsidRPr="008D6AC4" w:rsidRDefault="009F2C10" w:rsidP="009F2C10">
            <w:pPr>
              <w:jc w:val="both"/>
              <w:rPr>
                <w:rFonts w:ascii="Verdana" w:hAnsi="Verdana"/>
                <w:sz w:val="22"/>
                <w:szCs w:val="22"/>
              </w:rPr>
            </w:pPr>
            <w:r w:rsidRPr="008D6AC4">
              <w:rPr>
                <w:rFonts w:ascii="Verdana" w:hAnsi="Verdana"/>
                <w:sz w:val="22"/>
                <w:szCs w:val="22"/>
              </w:rPr>
              <w:t>1,156 (3.5%)</w:t>
            </w:r>
          </w:p>
        </w:tc>
        <w:tc>
          <w:tcPr>
            <w:tcW w:w="2552" w:type="dxa"/>
          </w:tcPr>
          <w:p w14:paraId="64334B40" w14:textId="77777777" w:rsidR="009F2C10" w:rsidRPr="008D6AC4" w:rsidRDefault="009F2C10" w:rsidP="009F2C10">
            <w:pPr>
              <w:jc w:val="both"/>
              <w:rPr>
                <w:rFonts w:ascii="Verdana" w:hAnsi="Verdana"/>
                <w:sz w:val="22"/>
                <w:szCs w:val="22"/>
              </w:rPr>
            </w:pPr>
            <w:r w:rsidRPr="008D6AC4">
              <w:rPr>
                <w:rFonts w:ascii="Verdana" w:hAnsi="Verdana"/>
                <w:sz w:val="22"/>
                <w:szCs w:val="22"/>
              </w:rPr>
              <w:t>705 (2.3%)</w:t>
            </w:r>
          </w:p>
        </w:tc>
      </w:tr>
      <w:tr w:rsidR="009F2C10" w:rsidRPr="008D6AC4" w14:paraId="19BD0631" w14:textId="77777777" w:rsidTr="136F3BEB">
        <w:trPr>
          <w:trHeight w:val="300"/>
        </w:trPr>
        <w:tc>
          <w:tcPr>
            <w:tcW w:w="3686" w:type="dxa"/>
          </w:tcPr>
          <w:p w14:paraId="4945B5A3" w14:textId="77777777" w:rsidR="009F2C10" w:rsidRPr="008D6AC4" w:rsidRDefault="009F2C10" w:rsidP="00C05CD9">
            <w:pPr>
              <w:ind w:left="720"/>
              <w:rPr>
                <w:rFonts w:ascii="Verdana" w:hAnsi="Verdana"/>
                <w:sz w:val="22"/>
                <w:szCs w:val="22"/>
              </w:rPr>
            </w:pPr>
            <w:r w:rsidRPr="008D6AC4">
              <w:rPr>
                <w:rFonts w:ascii="Verdana" w:hAnsi="Verdana"/>
                <w:sz w:val="22"/>
                <w:szCs w:val="22"/>
              </w:rPr>
              <w:t>70 to 79</w:t>
            </w:r>
          </w:p>
        </w:tc>
        <w:tc>
          <w:tcPr>
            <w:tcW w:w="2551" w:type="dxa"/>
          </w:tcPr>
          <w:p w14:paraId="1255FE3E" w14:textId="77777777" w:rsidR="009F2C10" w:rsidRPr="008D6AC4" w:rsidRDefault="009F2C10" w:rsidP="009F2C10">
            <w:pPr>
              <w:jc w:val="both"/>
              <w:rPr>
                <w:rFonts w:ascii="Verdana" w:hAnsi="Verdana"/>
                <w:sz w:val="22"/>
                <w:szCs w:val="22"/>
              </w:rPr>
            </w:pPr>
            <w:r w:rsidRPr="008D6AC4">
              <w:rPr>
                <w:rFonts w:ascii="Verdana" w:hAnsi="Verdana"/>
                <w:sz w:val="22"/>
                <w:szCs w:val="22"/>
              </w:rPr>
              <w:t>306 (0.9%)</w:t>
            </w:r>
          </w:p>
        </w:tc>
        <w:tc>
          <w:tcPr>
            <w:tcW w:w="2552" w:type="dxa"/>
          </w:tcPr>
          <w:p w14:paraId="080743B4" w14:textId="77777777" w:rsidR="009F2C10" w:rsidRPr="008D6AC4" w:rsidRDefault="009F2C10" w:rsidP="009F2C10">
            <w:pPr>
              <w:jc w:val="both"/>
              <w:rPr>
                <w:rFonts w:ascii="Verdana" w:hAnsi="Verdana"/>
                <w:sz w:val="22"/>
                <w:szCs w:val="22"/>
              </w:rPr>
            </w:pPr>
            <w:r w:rsidRPr="008D6AC4">
              <w:rPr>
                <w:rFonts w:ascii="Verdana" w:hAnsi="Verdana"/>
                <w:sz w:val="22"/>
                <w:szCs w:val="22"/>
              </w:rPr>
              <w:t>225 (0.7%)</w:t>
            </w:r>
          </w:p>
        </w:tc>
      </w:tr>
      <w:tr w:rsidR="009F2C10" w:rsidRPr="008D6AC4" w14:paraId="386CDD61" w14:textId="77777777" w:rsidTr="136F3BEB">
        <w:trPr>
          <w:trHeight w:val="300"/>
        </w:trPr>
        <w:tc>
          <w:tcPr>
            <w:tcW w:w="3686" w:type="dxa"/>
          </w:tcPr>
          <w:p w14:paraId="03A34951" w14:textId="77777777" w:rsidR="009F2C10" w:rsidRPr="008D6AC4" w:rsidRDefault="009F2C10" w:rsidP="00C05CD9">
            <w:pPr>
              <w:ind w:left="720"/>
              <w:rPr>
                <w:rFonts w:ascii="Verdana" w:hAnsi="Verdana"/>
                <w:sz w:val="22"/>
                <w:szCs w:val="22"/>
              </w:rPr>
            </w:pPr>
            <w:r w:rsidRPr="008D6AC4">
              <w:rPr>
                <w:rFonts w:ascii="Verdana" w:hAnsi="Verdana"/>
                <w:sz w:val="22"/>
                <w:szCs w:val="22"/>
              </w:rPr>
              <w:t>80 to 89</w:t>
            </w:r>
          </w:p>
        </w:tc>
        <w:tc>
          <w:tcPr>
            <w:tcW w:w="2551" w:type="dxa"/>
          </w:tcPr>
          <w:p w14:paraId="2A404ECA" w14:textId="77777777" w:rsidR="009F2C10" w:rsidRPr="008D6AC4" w:rsidRDefault="009F2C10" w:rsidP="009F2C10">
            <w:pPr>
              <w:jc w:val="both"/>
              <w:rPr>
                <w:rFonts w:ascii="Verdana" w:hAnsi="Verdana"/>
                <w:sz w:val="22"/>
                <w:szCs w:val="22"/>
              </w:rPr>
            </w:pPr>
            <w:r w:rsidRPr="008D6AC4">
              <w:rPr>
                <w:rFonts w:ascii="Verdana" w:hAnsi="Verdana"/>
                <w:sz w:val="22"/>
                <w:szCs w:val="22"/>
              </w:rPr>
              <w:t>17 (0.1%)</w:t>
            </w:r>
          </w:p>
        </w:tc>
        <w:tc>
          <w:tcPr>
            <w:tcW w:w="2552" w:type="dxa"/>
          </w:tcPr>
          <w:p w14:paraId="001B753A" w14:textId="77777777" w:rsidR="009F2C10" w:rsidRPr="008D6AC4" w:rsidRDefault="009F2C10" w:rsidP="009F2C10">
            <w:pPr>
              <w:jc w:val="both"/>
              <w:rPr>
                <w:rFonts w:ascii="Verdana" w:hAnsi="Verdana"/>
                <w:sz w:val="22"/>
                <w:szCs w:val="22"/>
              </w:rPr>
            </w:pPr>
            <w:r w:rsidRPr="008D6AC4">
              <w:rPr>
                <w:rFonts w:ascii="Verdana" w:hAnsi="Verdana"/>
                <w:sz w:val="22"/>
                <w:szCs w:val="22"/>
              </w:rPr>
              <w:t>11 (0.0%)</w:t>
            </w:r>
          </w:p>
        </w:tc>
      </w:tr>
      <w:tr w:rsidR="009F2C10" w:rsidRPr="008D6AC4" w14:paraId="7B6AC1C7" w14:textId="77777777" w:rsidTr="136F3BEB">
        <w:trPr>
          <w:trHeight w:val="300"/>
        </w:trPr>
        <w:tc>
          <w:tcPr>
            <w:tcW w:w="3686" w:type="dxa"/>
          </w:tcPr>
          <w:p w14:paraId="4375ABA1" w14:textId="77777777" w:rsidR="009F2C10" w:rsidRPr="008D6AC4" w:rsidRDefault="009F2C10" w:rsidP="00C05CD9">
            <w:pPr>
              <w:ind w:left="720"/>
              <w:rPr>
                <w:rFonts w:ascii="Verdana" w:hAnsi="Verdana"/>
                <w:sz w:val="22"/>
                <w:szCs w:val="22"/>
              </w:rPr>
            </w:pPr>
            <w:r w:rsidRPr="008D6AC4">
              <w:rPr>
                <w:rFonts w:ascii="Verdana" w:hAnsi="Verdana"/>
                <w:sz w:val="22"/>
                <w:szCs w:val="22"/>
              </w:rPr>
              <w:t>90 to 99</w:t>
            </w:r>
          </w:p>
        </w:tc>
        <w:tc>
          <w:tcPr>
            <w:tcW w:w="2551" w:type="dxa"/>
          </w:tcPr>
          <w:p w14:paraId="14461C1A" w14:textId="77777777" w:rsidR="009F2C10" w:rsidRPr="008D6AC4" w:rsidRDefault="009F2C10" w:rsidP="009F2C10">
            <w:pPr>
              <w:jc w:val="both"/>
              <w:rPr>
                <w:rFonts w:ascii="Verdana" w:hAnsi="Verdana"/>
                <w:sz w:val="22"/>
                <w:szCs w:val="22"/>
              </w:rPr>
            </w:pPr>
            <w:r w:rsidRPr="008D6AC4">
              <w:rPr>
                <w:rFonts w:ascii="Verdana" w:hAnsi="Verdana"/>
                <w:sz w:val="22"/>
                <w:szCs w:val="22"/>
              </w:rPr>
              <w:t>8 (0.0%)</w:t>
            </w:r>
          </w:p>
        </w:tc>
        <w:tc>
          <w:tcPr>
            <w:tcW w:w="2552" w:type="dxa"/>
          </w:tcPr>
          <w:p w14:paraId="60B0D867" w14:textId="77777777" w:rsidR="009F2C10" w:rsidRPr="008D6AC4" w:rsidRDefault="009F2C10" w:rsidP="009F2C10">
            <w:pPr>
              <w:jc w:val="both"/>
              <w:rPr>
                <w:rFonts w:ascii="Verdana" w:hAnsi="Verdana"/>
                <w:sz w:val="22"/>
                <w:szCs w:val="22"/>
              </w:rPr>
            </w:pPr>
            <w:r w:rsidRPr="008D6AC4">
              <w:rPr>
                <w:rFonts w:ascii="Verdana" w:hAnsi="Verdana"/>
                <w:sz w:val="22"/>
                <w:szCs w:val="22"/>
              </w:rPr>
              <w:t>2 (0.0%)</w:t>
            </w:r>
          </w:p>
        </w:tc>
      </w:tr>
      <w:tr w:rsidR="00A02363" w:rsidRPr="008D6AC4" w14:paraId="6C29F10D" w14:textId="77777777" w:rsidTr="136F3BEB">
        <w:trPr>
          <w:trHeight w:val="300"/>
        </w:trPr>
        <w:tc>
          <w:tcPr>
            <w:tcW w:w="3686" w:type="dxa"/>
            <w:tcBorders>
              <w:right w:val="single" w:sz="4" w:space="0" w:color="D7EFF1"/>
            </w:tcBorders>
            <w:shd w:val="clear" w:color="auto" w:fill="DDF1F3"/>
          </w:tcPr>
          <w:p w14:paraId="4998F1BE" w14:textId="77777777" w:rsidR="00A02363" w:rsidRPr="008D6AC4" w:rsidRDefault="00A02363" w:rsidP="00A02363">
            <w:pPr>
              <w:spacing w:line="259" w:lineRule="auto"/>
              <w:rPr>
                <w:rFonts w:ascii="Verdana" w:hAnsi="Verdana"/>
                <w:b/>
                <w:sz w:val="22"/>
                <w:szCs w:val="22"/>
              </w:rPr>
            </w:pPr>
            <w:r w:rsidRPr="008D6AC4">
              <w:rPr>
                <w:rFonts w:ascii="Verdana" w:hAnsi="Verdana"/>
                <w:b/>
                <w:sz w:val="22"/>
                <w:szCs w:val="22"/>
              </w:rPr>
              <w:t>Sexual Orientation</w:t>
            </w:r>
          </w:p>
        </w:tc>
        <w:tc>
          <w:tcPr>
            <w:tcW w:w="2551" w:type="dxa"/>
            <w:tcBorders>
              <w:left w:val="single" w:sz="4" w:space="0" w:color="D7EFF1"/>
              <w:right w:val="single" w:sz="4" w:space="0" w:color="D7EFF1"/>
            </w:tcBorders>
            <w:shd w:val="clear" w:color="auto" w:fill="DDF1F3"/>
          </w:tcPr>
          <w:p w14:paraId="0B7EE902" w14:textId="77777777" w:rsidR="00A02363" w:rsidRPr="008D6AC4" w:rsidRDefault="00A02363" w:rsidP="00A02363">
            <w:pPr>
              <w:spacing w:line="259" w:lineRule="auto"/>
              <w:rPr>
                <w:rFonts w:ascii="Verdana" w:hAnsi="Verdana"/>
                <w:b/>
                <w:sz w:val="22"/>
                <w:szCs w:val="22"/>
              </w:rPr>
            </w:pPr>
          </w:p>
        </w:tc>
        <w:tc>
          <w:tcPr>
            <w:tcW w:w="2552" w:type="dxa"/>
            <w:tcBorders>
              <w:left w:val="single" w:sz="4" w:space="0" w:color="D7EFF1"/>
            </w:tcBorders>
            <w:shd w:val="clear" w:color="auto" w:fill="DDF1F3"/>
          </w:tcPr>
          <w:p w14:paraId="1EBDA32E" w14:textId="77777777" w:rsidR="00A02363" w:rsidRPr="008D6AC4" w:rsidRDefault="00A02363" w:rsidP="00A02363">
            <w:pPr>
              <w:spacing w:line="259" w:lineRule="auto"/>
              <w:rPr>
                <w:rFonts w:ascii="Verdana" w:hAnsi="Verdana"/>
                <w:b/>
                <w:sz w:val="22"/>
                <w:szCs w:val="22"/>
              </w:rPr>
            </w:pPr>
          </w:p>
        </w:tc>
      </w:tr>
      <w:tr w:rsidR="009F2C10" w:rsidRPr="008D6AC4" w14:paraId="4F5BDB74" w14:textId="77777777" w:rsidTr="136F3BEB">
        <w:trPr>
          <w:trHeight w:val="300"/>
        </w:trPr>
        <w:tc>
          <w:tcPr>
            <w:tcW w:w="3686" w:type="dxa"/>
          </w:tcPr>
          <w:p w14:paraId="20117BA8" w14:textId="77777777" w:rsidR="009F2C10" w:rsidRPr="008D6AC4" w:rsidRDefault="009F2C10" w:rsidP="00C05CD9">
            <w:pPr>
              <w:ind w:left="720"/>
              <w:rPr>
                <w:rFonts w:ascii="Verdana" w:hAnsi="Verdana"/>
                <w:sz w:val="22"/>
                <w:szCs w:val="22"/>
              </w:rPr>
            </w:pPr>
            <w:r w:rsidRPr="008D6AC4">
              <w:rPr>
                <w:rFonts w:ascii="Verdana" w:hAnsi="Verdana"/>
                <w:sz w:val="22"/>
                <w:szCs w:val="22"/>
              </w:rPr>
              <w:t>Heterosexual or Straight</w:t>
            </w:r>
          </w:p>
        </w:tc>
        <w:tc>
          <w:tcPr>
            <w:tcW w:w="2551" w:type="dxa"/>
          </w:tcPr>
          <w:p w14:paraId="59C1A04A" w14:textId="77777777" w:rsidR="009F2C10" w:rsidRPr="008D6AC4" w:rsidRDefault="009F2C10" w:rsidP="009F2C10">
            <w:pPr>
              <w:jc w:val="both"/>
              <w:rPr>
                <w:rFonts w:ascii="Verdana" w:hAnsi="Verdana"/>
                <w:sz w:val="22"/>
                <w:szCs w:val="22"/>
              </w:rPr>
            </w:pPr>
            <w:r w:rsidRPr="008D6AC4">
              <w:rPr>
                <w:rFonts w:ascii="Verdana" w:hAnsi="Verdana"/>
                <w:sz w:val="22"/>
                <w:szCs w:val="22"/>
              </w:rPr>
              <w:t>25,812 (78.6%)</w:t>
            </w:r>
          </w:p>
        </w:tc>
        <w:tc>
          <w:tcPr>
            <w:tcW w:w="2552" w:type="dxa"/>
          </w:tcPr>
          <w:p w14:paraId="742F22ED" w14:textId="77777777" w:rsidR="009F2C10" w:rsidRPr="008D6AC4" w:rsidRDefault="009F2C10" w:rsidP="009F2C10">
            <w:pPr>
              <w:jc w:val="both"/>
              <w:rPr>
                <w:rFonts w:ascii="Verdana" w:hAnsi="Verdana"/>
                <w:sz w:val="22"/>
                <w:szCs w:val="22"/>
              </w:rPr>
            </w:pPr>
            <w:r w:rsidRPr="008D6AC4">
              <w:rPr>
                <w:rFonts w:ascii="Verdana" w:hAnsi="Verdana"/>
                <w:sz w:val="22"/>
                <w:szCs w:val="22"/>
              </w:rPr>
              <w:t>27,106 (86.9%)</w:t>
            </w:r>
          </w:p>
        </w:tc>
      </w:tr>
      <w:tr w:rsidR="009F2C10" w:rsidRPr="008D6AC4" w14:paraId="10521ED2" w14:textId="77777777" w:rsidTr="136F3BEB">
        <w:trPr>
          <w:trHeight w:val="300"/>
        </w:trPr>
        <w:tc>
          <w:tcPr>
            <w:tcW w:w="3686" w:type="dxa"/>
          </w:tcPr>
          <w:p w14:paraId="11FEC6A3" w14:textId="77777777" w:rsidR="009F2C10" w:rsidRPr="008D6AC4" w:rsidRDefault="009F2C10" w:rsidP="00C05CD9">
            <w:pPr>
              <w:ind w:left="720"/>
              <w:rPr>
                <w:rFonts w:ascii="Verdana" w:hAnsi="Verdana"/>
                <w:sz w:val="22"/>
                <w:szCs w:val="22"/>
              </w:rPr>
            </w:pPr>
            <w:r w:rsidRPr="008D6AC4">
              <w:rPr>
                <w:rFonts w:ascii="Verdana" w:hAnsi="Verdana"/>
                <w:sz w:val="22"/>
                <w:szCs w:val="22"/>
              </w:rPr>
              <w:t>Gay or Lesbian</w:t>
            </w:r>
          </w:p>
        </w:tc>
        <w:tc>
          <w:tcPr>
            <w:tcW w:w="2551" w:type="dxa"/>
          </w:tcPr>
          <w:p w14:paraId="7617185A" w14:textId="77777777" w:rsidR="009F2C10" w:rsidRPr="008D6AC4" w:rsidRDefault="009F2C10" w:rsidP="009F2C10">
            <w:pPr>
              <w:jc w:val="both"/>
              <w:rPr>
                <w:rFonts w:ascii="Verdana" w:hAnsi="Verdana"/>
                <w:sz w:val="22"/>
                <w:szCs w:val="22"/>
              </w:rPr>
            </w:pPr>
            <w:r w:rsidRPr="008D6AC4">
              <w:rPr>
                <w:rFonts w:ascii="Verdana" w:hAnsi="Verdana"/>
                <w:sz w:val="22"/>
                <w:szCs w:val="22"/>
              </w:rPr>
              <w:t>4,430 (13.5%)</w:t>
            </w:r>
          </w:p>
        </w:tc>
        <w:tc>
          <w:tcPr>
            <w:tcW w:w="2552" w:type="dxa"/>
          </w:tcPr>
          <w:p w14:paraId="6F0E3D49" w14:textId="77777777" w:rsidR="009F2C10" w:rsidRPr="008D6AC4" w:rsidRDefault="009F2C10" w:rsidP="009F2C10">
            <w:pPr>
              <w:jc w:val="both"/>
              <w:rPr>
                <w:rFonts w:ascii="Verdana" w:hAnsi="Verdana"/>
                <w:sz w:val="22"/>
                <w:szCs w:val="22"/>
              </w:rPr>
            </w:pPr>
            <w:r w:rsidRPr="008D6AC4">
              <w:rPr>
                <w:rFonts w:ascii="Verdana" w:hAnsi="Verdana"/>
                <w:sz w:val="22"/>
                <w:szCs w:val="22"/>
              </w:rPr>
              <w:t>2,597 (8.3%)</w:t>
            </w:r>
          </w:p>
        </w:tc>
      </w:tr>
      <w:tr w:rsidR="009F2C10" w:rsidRPr="008D6AC4" w14:paraId="2D5A4307" w14:textId="77777777" w:rsidTr="136F3BEB">
        <w:trPr>
          <w:trHeight w:val="300"/>
        </w:trPr>
        <w:tc>
          <w:tcPr>
            <w:tcW w:w="3686" w:type="dxa"/>
          </w:tcPr>
          <w:p w14:paraId="39751729" w14:textId="77777777" w:rsidR="009F2C10" w:rsidRPr="008D6AC4" w:rsidRDefault="009F2C10" w:rsidP="00DB1F01">
            <w:pPr>
              <w:ind w:left="720"/>
              <w:rPr>
                <w:rFonts w:ascii="Verdana" w:hAnsi="Verdana"/>
                <w:sz w:val="22"/>
                <w:szCs w:val="22"/>
              </w:rPr>
            </w:pPr>
            <w:r w:rsidRPr="008D6AC4">
              <w:rPr>
                <w:rFonts w:ascii="Verdana" w:hAnsi="Verdana"/>
                <w:sz w:val="22"/>
                <w:szCs w:val="22"/>
              </w:rPr>
              <w:t>Bisexual</w:t>
            </w:r>
          </w:p>
        </w:tc>
        <w:tc>
          <w:tcPr>
            <w:tcW w:w="2551" w:type="dxa"/>
          </w:tcPr>
          <w:p w14:paraId="5C065490" w14:textId="77777777" w:rsidR="009F2C10" w:rsidRPr="008D6AC4" w:rsidRDefault="009F2C10" w:rsidP="009F2C10">
            <w:pPr>
              <w:jc w:val="both"/>
              <w:rPr>
                <w:rFonts w:ascii="Verdana" w:hAnsi="Verdana"/>
                <w:sz w:val="22"/>
                <w:szCs w:val="22"/>
              </w:rPr>
            </w:pPr>
            <w:r w:rsidRPr="008D6AC4">
              <w:rPr>
                <w:rFonts w:ascii="Verdana" w:hAnsi="Verdana"/>
                <w:sz w:val="22"/>
                <w:szCs w:val="22"/>
              </w:rPr>
              <w:t>1,655 (5.0%)</w:t>
            </w:r>
          </w:p>
        </w:tc>
        <w:tc>
          <w:tcPr>
            <w:tcW w:w="2552" w:type="dxa"/>
          </w:tcPr>
          <w:p w14:paraId="79E6FBE4" w14:textId="77777777" w:rsidR="009F2C10" w:rsidRPr="008D6AC4" w:rsidRDefault="009F2C10" w:rsidP="009F2C10">
            <w:pPr>
              <w:jc w:val="both"/>
              <w:rPr>
                <w:rFonts w:ascii="Verdana" w:hAnsi="Verdana"/>
                <w:sz w:val="22"/>
                <w:szCs w:val="22"/>
              </w:rPr>
            </w:pPr>
            <w:r w:rsidRPr="008D6AC4">
              <w:rPr>
                <w:rFonts w:ascii="Verdana" w:hAnsi="Verdana"/>
                <w:sz w:val="22"/>
                <w:szCs w:val="22"/>
              </w:rPr>
              <w:t>1,295 (4.2%)</w:t>
            </w:r>
          </w:p>
        </w:tc>
      </w:tr>
      <w:tr w:rsidR="009F2C10" w:rsidRPr="008D6AC4" w14:paraId="137480B1" w14:textId="77777777" w:rsidTr="136F3BEB">
        <w:trPr>
          <w:trHeight w:val="300"/>
        </w:trPr>
        <w:tc>
          <w:tcPr>
            <w:tcW w:w="3686" w:type="dxa"/>
          </w:tcPr>
          <w:p w14:paraId="7ACA3E47" w14:textId="77777777" w:rsidR="009F2C10" w:rsidRPr="008D6AC4" w:rsidRDefault="009F2C10" w:rsidP="00DB1F01">
            <w:pPr>
              <w:ind w:left="720"/>
              <w:rPr>
                <w:rFonts w:ascii="Verdana" w:hAnsi="Verdana"/>
                <w:sz w:val="22"/>
                <w:szCs w:val="22"/>
              </w:rPr>
            </w:pPr>
            <w:r w:rsidRPr="008D6AC4">
              <w:rPr>
                <w:rFonts w:ascii="Verdana" w:hAnsi="Verdana"/>
                <w:sz w:val="22"/>
                <w:szCs w:val="22"/>
              </w:rPr>
              <w:t>Other</w:t>
            </w:r>
          </w:p>
        </w:tc>
        <w:tc>
          <w:tcPr>
            <w:tcW w:w="2551" w:type="dxa"/>
          </w:tcPr>
          <w:p w14:paraId="3BC428B9" w14:textId="77777777" w:rsidR="009F2C10" w:rsidRPr="008D6AC4" w:rsidRDefault="009F2C10" w:rsidP="009F2C10">
            <w:pPr>
              <w:jc w:val="both"/>
              <w:rPr>
                <w:rFonts w:ascii="Verdana" w:hAnsi="Verdana"/>
                <w:sz w:val="22"/>
                <w:szCs w:val="22"/>
              </w:rPr>
            </w:pPr>
            <w:r w:rsidRPr="008D6AC4">
              <w:rPr>
                <w:rFonts w:ascii="Verdana" w:hAnsi="Verdana"/>
                <w:sz w:val="22"/>
                <w:szCs w:val="22"/>
              </w:rPr>
              <w:t>1 (0.0%)</w:t>
            </w:r>
          </w:p>
        </w:tc>
        <w:tc>
          <w:tcPr>
            <w:tcW w:w="2552" w:type="dxa"/>
          </w:tcPr>
          <w:p w14:paraId="6F5B0FA8" w14:textId="77777777" w:rsidR="009F2C10" w:rsidRPr="008D6AC4" w:rsidRDefault="009F2C10" w:rsidP="009F2C10">
            <w:pPr>
              <w:jc w:val="both"/>
              <w:rPr>
                <w:rFonts w:ascii="Verdana" w:hAnsi="Verdana"/>
                <w:sz w:val="22"/>
                <w:szCs w:val="22"/>
              </w:rPr>
            </w:pPr>
            <w:r w:rsidRPr="008D6AC4">
              <w:rPr>
                <w:rFonts w:ascii="Verdana" w:hAnsi="Verdana"/>
                <w:sz w:val="22"/>
                <w:szCs w:val="22"/>
              </w:rPr>
              <w:t>22 (0.1%)</w:t>
            </w:r>
          </w:p>
        </w:tc>
      </w:tr>
      <w:tr w:rsidR="009F2C10" w:rsidRPr="008D6AC4" w14:paraId="549F757B" w14:textId="77777777" w:rsidTr="136F3BEB">
        <w:trPr>
          <w:trHeight w:val="300"/>
        </w:trPr>
        <w:tc>
          <w:tcPr>
            <w:tcW w:w="3686" w:type="dxa"/>
          </w:tcPr>
          <w:p w14:paraId="7779C610" w14:textId="77777777" w:rsidR="009F2C10" w:rsidRPr="008D6AC4" w:rsidRDefault="009F2C10" w:rsidP="00DB1F01">
            <w:pPr>
              <w:ind w:left="720"/>
              <w:rPr>
                <w:rFonts w:ascii="Verdana" w:hAnsi="Verdana"/>
                <w:sz w:val="22"/>
                <w:szCs w:val="22"/>
              </w:rPr>
            </w:pPr>
            <w:r w:rsidRPr="008D6AC4">
              <w:rPr>
                <w:rFonts w:ascii="Verdana" w:hAnsi="Verdana"/>
                <w:sz w:val="22"/>
                <w:szCs w:val="22"/>
              </w:rPr>
              <w:t>Not recorded or declined to answer</w:t>
            </w:r>
          </w:p>
        </w:tc>
        <w:tc>
          <w:tcPr>
            <w:tcW w:w="2551" w:type="dxa"/>
          </w:tcPr>
          <w:p w14:paraId="15B043C2" w14:textId="77777777" w:rsidR="009F2C10" w:rsidRPr="008D6AC4" w:rsidRDefault="009F2C10" w:rsidP="009F2C10">
            <w:pPr>
              <w:jc w:val="both"/>
              <w:rPr>
                <w:rFonts w:ascii="Verdana" w:hAnsi="Verdana"/>
                <w:sz w:val="22"/>
                <w:szCs w:val="22"/>
              </w:rPr>
            </w:pPr>
            <w:r w:rsidRPr="008D6AC4">
              <w:rPr>
                <w:rFonts w:ascii="Verdana" w:hAnsi="Verdana"/>
                <w:sz w:val="22"/>
                <w:szCs w:val="22"/>
              </w:rPr>
              <w:t>946 (2.9%)</w:t>
            </w:r>
          </w:p>
        </w:tc>
        <w:tc>
          <w:tcPr>
            <w:tcW w:w="2552" w:type="dxa"/>
          </w:tcPr>
          <w:p w14:paraId="26242B57" w14:textId="77777777" w:rsidR="009F2C10" w:rsidRPr="008D6AC4" w:rsidRDefault="009F2C10" w:rsidP="009F2C10">
            <w:pPr>
              <w:jc w:val="both"/>
              <w:rPr>
                <w:rFonts w:ascii="Verdana" w:hAnsi="Verdana"/>
                <w:sz w:val="22"/>
                <w:szCs w:val="22"/>
              </w:rPr>
            </w:pPr>
            <w:r w:rsidRPr="008D6AC4">
              <w:rPr>
                <w:rFonts w:ascii="Verdana" w:hAnsi="Verdana"/>
                <w:sz w:val="22"/>
                <w:szCs w:val="22"/>
              </w:rPr>
              <w:t>135 (0.4%)</w:t>
            </w:r>
          </w:p>
        </w:tc>
      </w:tr>
      <w:tr w:rsidR="00A02363" w:rsidRPr="008D6AC4" w14:paraId="209820EF" w14:textId="77777777" w:rsidTr="136F3BEB">
        <w:trPr>
          <w:trHeight w:val="300"/>
        </w:trPr>
        <w:tc>
          <w:tcPr>
            <w:tcW w:w="3686" w:type="dxa"/>
            <w:tcBorders>
              <w:right w:val="single" w:sz="4" w:space="0" w:color="D7EFF1"/>
            </w:tcBorders>
            <w:shd w:val="clear" w:color="auto" w:fill="DDF1F3"/>
          </w:tcPr>
          <w:p w14:paraId="046AD777" w14:textId="77777777" w:rsidR="00A02363" w:rsidRPr="008D6AC4" w:rsidRDefault="00A02363" w:rsidP="00A02363">
            <w:pPr>
              <w:rPr>
                <w:rFonts w:ascii="Verdana" w:hAnsi="Verdana"/>
                <w:b/>
                <w:sz w:val="22"/>
                <w:szCs w:val="22"/>
              </w:rPr>
            </w:pPr>
            <w:r w:rsidRPr="008D6AC4">
              <w:rPr>
                <w:rFonts w:ascii="Verdana" w:hAnsi="Verdana"/>
                <w:b/>
                <w:sz w:val="22"/>
                <w:szCs w:val="22"/>
              </w:rPr>
              <w:t>Ethnicity</w:t>
            </w:r>
          </w:p>
        </w:tc>
        <w:tc>
          <w:tcPr>
            <w:tcW w:w="2551" w:type="dxa"/>
            <w:tcBorders>
              <w:left w:val="single" w:sz="4" w:space="0" w:color="D7EFF1"/>
              <w:right w:val="single" w:sz="4" w:space="0" w:color="D7EFF1"/>
            </w:tcBorders>
            <w:shd w:val="clear" w:color="auto" w:fill="DDF1F3"/>
          </w:tcPr>
          <w:p w14:paraId="11D8934D" w14:textId="77777777" w:rsidR="00A02363" w:rsidRPr="008D6AC4" w:rsidRDefault="00A02363" w:rsidP="00A02363">
            <w:pPr>
              <w:rPr>
                <w:rFonts w:ascii="Verdana" w:hAnsi="Verdana"/>
                <w:b/>
                <w:sz w:val="22"/>
                <w:szCs w:val="22"/>
              </w:rPr>
            </w:pPr>
          </w:p>
        </w:tc>
        <w:tc>
          <w:tcPr>
            <w:tcW w:w="2552" w:type="dxa"/>
            <w:tcBorders>
              <w:left w:val="single" w:sz="4" w:space="0" w:color="D7EFF1"/>
            </w:tcBorders>
            <w:shd w:val="clear" w:color="auto" w:fill="DDF1F3"/>
          </w:tcPr>
          <w:p w14:paraId="3C97A4C0" w14:textId="77777777" w:rsidR="00A02363" w:rsidRPr="008D6AC4" w:rsidRDefault="00A02363" w:rsidP="00A02363">
            <w:pPr>
              <w:rPr>
                <w:rFonts w:ascii="Verdana" w:hAnsi="Verdana"/>
                <w:b/>
                <w:sz w:val="22"/>
                <w:szCs w:val="22"/>
              </w:rPr>
            </w:pPr>
          </w:p>
        </w:tc>
      </w:tr>
      <w:tr w:rsidR="009F2C10" w:rsidRPr="008D6AC4" w14:paraId="6D46B32B" w14:textId="77777777" w:rsidTr="136F3BEB">
        <w:trPr>
          <w:trHeight w:val="300"/>
        </w:trPr>
        <w:tc>
          <w:tcPr>
            <w:tcW w:w="3686" w:type="dxa"/>
          </w:tcPr>
          <w:p w14:paraId="073439BC" w14:textId="77777777" w:rsidR="009F2C10" w:rsidRPr="008D6AC4" w:rsidRDefault="009F2C10" w:rsidP="00DB1F01">
            <w:pPr>
              <w:ind w:left="720"/>
              <w:rPr>
                <w:rFonts w:ascii="Verdana" w:hAnsi="Verdana"/>
                <w:sz w:val="22"/>
                <w:szCs w:val="22"/>
              </w:rPr>
            </w:pPr>
            <w:r w:rsidRPr="008D6AC4">
              <w:rPr>
                <w:rFonts w:ascii="Verdana" w:hAnsi="Verdana"/>
                <w:sz w:val="22"/>
                <w:szCs w:val="22"/>
              </w:rPr>
              <w:t>White - British</w:t>
            </w:r>
          </w:p>
        </w:tc>
        <w:tc>
          <w:tcPr>
            <w:tcW w:w="2551" w:type="dxa"/>
          </w:tcPr>
          <w:p w14:paraId="79978AA7" w14:textId="77777777" w:rsidR="009F2C10" w:rsidRPr="008D6AC4" w:rsidRDefault="009F2C10" w:rsidP="009F2C10">
            <w:pPr>
              <w:jc w:val="both"/>
              <w:rPr>
                <w:rFonts w:ascii="Verdana" w:hAnsi="Verdana"/>
                <w:sz w:val="22"/>
                <w:szCs w:val="22"/>
              </w:rPr>
            </w:pPr>
            <w:r w:rsidRPr="008D6AC4">
              <w:rPr>
                <w:rFonts w:ascii="Verdana" w:hAnsi="Verdana"/>
                <w:sz w:val="22"/>
                <w:szCs w:val="22"/>
              </w:rPr>
              <w:t>25,641 (78.1%)</w:t>
            </w:r>
          </w:p>
        </w:tc>
        <w:tc>
          <w:tcPr>
            <w:tcW w:w="2552" w:type="dxa"/>
          </w:tcPr>
          <w:p w14:paraId="45AF330F" w14:textId="77777777" w:rsidR="009F2C10" w:rsidRPr="008D6AC4" w:rsidRDefault="009F2C10" w:rsidP="009F2C10">
            <w:pPr>
              <w:jc w:val="both"/>
              <w:rPr>
                <w:rFonts w:ascii="Verdana" w:hAnsi="Verdana"/>
                <w:sz w:val="22"/>
                <w:szCs w:val="22"/>
              </w:rPr>
            </w:pPr>
            <w:r w:rsidRPr="008D6AC4">
              <w:rPr>
                <w:rFonts w:ascii="Verdana" w:hAnsi="Verdana"/>
                <w:sz w:val="22"/>
                <w:szCs w:val="22"/>
              </w:rPr>
              <w:t>22,337 (71.6%)</w:t>
            </w:r>
          </w:p>
        </w:tc>
      </w:tr>
      <w:tr w:rsidR="009F2C10" w:rsidRPr="008D6AC4" w14:paraId="429BC5E1" w14:textId="77777777" w:rsidTr="136F3BEB">
        <w:trPr>
          <w:trHeight w:val="300"/>
        </w:trPr>
        <w:tc>
          <w:tcPr>
            <w:tcW w:w="3686" w:type="dxa"/>
          </w:tcPr>
          <w:p w14:paraId="4C5467F7" w14:textId="77777777" w:rsidR="009F2C10" w:rsidRPr="008D6AC4" w:rsidRDefault="009F2C10" w:rsidP="00DB1F01">
            <w:pPr>
              <w:spacing w:line="259" w:lineRule="auto"/>
              <w:ind w:left="720"/>
              <w:rPr>
                <w:rFonts w:ascii="Verdana" w:hAnsi="Verdana"/>
                <w:sz w:val="22"/>
                <w:szCs w:val="22"/>
              </w:rPr>
            </w:pPr>
            <w:r w:rsidRPr="008D6AC4">
              <w:rPr>
                <w:rFonts w:ascii="Verdana" w:hAnsi="Verdana"/>
                <w:sz w:val="22"/>
                <w:szCs w:val="22"/>
              </w:rPr>
              <w:t>White - Irish</w:t>
            </w:r>
          </w:p>
        </w:tc>
        <w:tc>
          <w:tcPr>
            <w:tcW w:w="2551" w:type="dxa"/>
          </w:tcPr>
          <w:p w14:paraId="5D254592" w14:textId="77777777" w:rsidR="009F2C10" w:rsidRPr="008D6AC4" w:rsidRDefault="009F2C10" w:rsidP="009F2C10">
            <w:pPr>
              <w:jc w:val="both"/>
              <w:rPr>
                <w:rFonts w:ascii="Verdana" w:hAnsi="Verdana"/>
                <w:sz w:val="22"/>
                <w:szCs w:val="22"/>
              </w:rPr>
            </w:pPr>
            <w:r w:rsidRPr="008D6AC4">
              <w:rPr>
                <w:rFonts w:ascii="Verdana" w:hAnsi="Verdana"/>
                <w:sz w:val="22"/>
                <w:szCs w:val="22"/>
              </w:rPr>
              <w:t>149 (0.5%)</w:t>
            </w:r>
          </w:p>
        </w:tc>
        <w:tc>
          <w:tcPr>
            <w:tcW w:w="2552" w:type="dxa"/>
          </w:tcPr>
          <w:p w14:paraId="79EADFE1" w14:textId="77777777" w:rsidR="009F2C10" w:rsidRPr="008D6AC4" w:rsidRDefault="009F2C10" w:rsidP="009F2C10">
            <w:pPr>
              <w:jc w:val="both"/>
              <w:rPr>
                <w:rFonts w:ascii="Verdana" w:hAnsi="Verdana"/>
                <w:sz w:val="22"/>
                <w:szCs w:val="22"/>
              </w:rPr>
            </w:pPr>
            <w:r w:rsidRPr="008D6AC4">
              <w:rPr>
                <w:rFonts w:ascii="Verdana" w:hAnsi="Verdana"/>
                <w:sz w:val="22"/>
                <w:szCs w:val="22"/>
              </w:rPr>
              <w:t>186 (0.6%)</w:t>
            </w:r>
          </w:p>
        </w:tc>
      </w:tr>
      <w:tr w:rsidR="009F2C10" w:rsidRPr="008D6AC4" w14:paraId="63560887" w14:textId="77777777" w:rsidTr="136F3BEB">
        <w:trPr>
          <w:trHeight w:val="300"/>
        </w:trPr>
        <w:tc>
          <w:tcPr>
            <w:tcW w:w="3686" w:type="dxa"/>
          </w:tcPr>
          <w:p w14:paraId="6D032E6A" w14:textId="77777777" w:rsidR="009F2C10" w:rsidRPr="008D6AC4" w:rsidRDefault="009F2C10" w:rsidP="00DB1F01">
            <w:pPr>
              <w:ind w:left="720"/>
              <w:rPr>
                <w:rFonts w:ascii="Verdana" w:hAnsi="Verdana"/>
                <w:sz w:val="22"/>
                <w:szCs w:val="22"/>
              </w:rPr>
            </w:pPr>
            <w:r w:rsidRPr="008D6AC4">
              <w:rPr>
                <w:rFonts w:ascii="Verdana" w:hAnsi="Verdana"/>
                <w:sz w:val="22"/>
                <w:szCs w:val="22"/>
              </w:rPr>
              <w:t>White – Any other White background</w:t>
            </w:r>
          </w:p>
        </w:tc>
        <w:tc>
          <w:tcPr>
            <w:tcW w:w="2551" w:type="dxa"/>
          </w:tcPr>
          <w:p w14:paraId="2E188501" w14:textId="77777777" w:rsidR="009F2C10" w:rsidRPr="008D6AC4" w:rsidRDefault="009F2C10" w:rsidP="009F2C10">
            <w:pPr>
              <w:jc w:val="both"/>
              <w:rPr>
                <w:rFonts w:ascii="Verdana" w:hAnsi="Verdana"/>
                <w:sz w:val="22"/>
                <w:szCs w:val="22"/>
              </w:rPr>
            </w:pPr>
            <w:r w:rsidRPr="008D6AC4">
              <w:rPr>
                <w:rFonts w:ascii="Verdana" w:hAnsi="Verdana"/>
                <w:sz w:val="22"/>
                <w:szCs w:val="22"/>
              </w:rPr>
              <w:t>1,804 (5.5%)</w:t>
            </w:r>
          </w:p>
        </w:tc>
        <w:tc>
          <w:tcPr>
            <w:tcW w:w="2552" w:type="dxa"/>
          </w:tcPr>
          <w:p w14:paraId="7DB351CC" w14:textId="77777777" w:rsidR="009F2C10" w:rsidRPr="008D6AC4" w:rsidRDefault="009F2C10" w:rsidP="009F2C10">
            <w:pPr>
              <w:jc w:val="both"/>
              <w:rPr>
                <w:rFonts w:ascii="Verdana" w:hAnsi="Verdana"/>
                <w:sz w:val="22"/>
                <w:szCs w:val="22"/>
              </w:rPr>
            </w:pPr>
            <w:r w:rsidRPr="008D6AC4">
              <w:rPr>
                <w:rFonts w:ascii="Verdana" w:hAnsi="Verdana"/>
                <w:sz w:val="22"/>
                <w:szCs w:val="22"/>
              </w:rPr>
              <w:t>2,425 (7.8%)</w:t>
            </w:r>
          </w:p>
        </w:tc>
      </w:tr>
      <w:tr w:rsidR="009F2C10" w:rsidRPr="008D6AC4" w14:paraId="1B28C98C" w14:textId="77777777" w:rsidTr="136F3BEB">
        <w:trPr>
          <w:trHeight w:val="300"/>
        </w:trPr>
        <w:tc>
          <w:tcPr>
            <w:tcW w:w="3686" w:type="dxa"/>
          </w:tcPr>
          <w:p w14:paraId="769201F9" w14:textId="77777777" w:rsidR="009F2C10" w:rsidRPr="008D6AC4" w:rsidRDefault="009F2C10" w:rsidP="00DB1F01">
            <w:pPr>
              <w:ind w:left="720"/>
              <w:rPr>
                <w:rFonts w:ascii="Verdana" w:hAnsi="Verdana"/>
                <w:sz w:val="22"/>
                <w:szCs w:val="22"/>
              </w:rPr>
            </w:pPr>
            <w:r w:rsidRPr="008D6AC4">
              <w:rPr>
                <w:rFonts w:ascii="Verdana" w:hAnsi="Verdana"/>
                <w:sz w:val="22"/>
                <w:szCs w:val="22"/>
              </w:rPr>
              <w:t>Mixed – White and Black Caribbean</w:t>
            </w:r>
          </w:p>
        </w:tc>
        <w:tc>
          <w:tcPr>
            <w:tcW w:w="2551" w:type="dxa"/>
          </w:tcPr>
          <w:p w14:paraId="5A62B2FA" w14:textId="77777777" w:rsidR="009F2C10" w:rsidRPr="008D6AC4" w:rsidRDefault="009F2C10" w:rsidP="009F2C10">
            <w:pPr>
              <w:jc w:val="both"/>
              <w:rPr>
                <w:rFonts w:ascii="Verdana" w:hAnsi="Verdana"/>
                <w:sz w:val="22"/>
                <w:szCs w:val="22"/>
              </w:rPr>
            </w:pPr>
            <w:r w:rsidRPr="008D6AC4">
              <w:rPr>
                <w:rFonts w:ascii="Verdana" w:hAnsi="Verdana"/>
                <w:sz w:val="22"/>
                <w:szCs w:val="22"/>
              </w:rPr>
              <w:t>248 (0.8%)</w:t>
            </w:r>
          </w:p>
        </w:tc>
        <w:tc>
          <w:tcPr>
            <w:tcW w:w="2552" w:type="dxa"/>
          </w:tcPr>
          <w:p w14:paraId="17791509" w14:textId="77777777" w:rsidR="009F2C10" w:rsidRPr="008D6AC4" w:rsidRDefault="009F2C10" w:rsidP="009F2C10">
            <w:pPr>
              <w:jc w:val="both"/>
              <w:rPr>
                <w:rFonts w:ascii="Verdana" w:hAnsi="Verdana"/>
                <w:sz w:val="22"/>
                <w:szCs w:val="22"/>
              </w:rPr>
            </w:pPr>
            <w:r w:rsidRPr="008D6AC4">
              <w:rPr>
                <w:rFonts w:ascii="Verdana" w:hAnsi="Verdana"/>
                <w:sz w:val="22"/>
                <w:szCs w:val="22"/>
              </w:rPr>
              <w:t>236 (0.8%)</w:t>
            </w:r>
          </w:p>
        </w:tc>
      </w:tr>
      <w:tr w:rsidR="009F2C10" w:rsidRPr="008D6AC4" w14:paraId="44EA1E87" w14:textId="77777777" w:rsidTr="136F3BEB">
        <w:trPr>
          <w:trHeight w:val="300"/>
        </w:trPr>
        <w:tc>
          <w:tcPr>
            <w:tcW w:w="3686" w:type="dxa"/>
          </w:tcPr>
          <w:p w14:paraId="06C8BA15" w14:textId="77777777" w:rsidR="009F2C10" w:rsidRPr="008D6AC4" w:rsidRDefault="009F2C10" w:rsidP="00DB1F01">
            <w:pPr>
              <w:ind w:left="720"/>
              <w:rPr>
                <w:rFonts w:ascii="Verdana" w:hAnsi="Verdana"/>
                <w:sz w:val="22"/>
                <w:szCs w:val="22"/>
              </w:rPr>
            </w:pPr>
            <w:r w:rsidRPr="008D6AC4">
              <w:rPr>
                <w:rFonts w:ascii="Verdana" w:hAnsi="Verdana"/>
                <w:sz w:val="22"/>
                <w:szCs w:val="22"/>
              </w:rPr>
              <w:t>Mixed – White and Black African</w:t>
            </w:r>
          </w:p>
        </w:tc>
        <w:tc>
          <w:tcPr>
            <w:tcW w:w="2551" w:type="dxa"/>
          </w:tcPr>
          <w:p w14:paraId="5D977046" w14:textId="77777777" w:rsidR="009F2C10" w:rsidRPr="008D6AC4" w:rsidRDefault="009F2C10" w:rsidP="009F2C10">
            <w:pPr>
              <w:jc w:val="both"/>
              <w:rPr>
                <w:rFonts w:ascii="Verdana" w:hAnsi="Verdana"/>
                <w:sz w:val="22"/>
                <w:szCs w:val="22"/>
              </w:rPr>
            </w:pPr>
            <w:r w:rsidRPr="008D6AC4">
              <w:rPr>
                <w:rFonts w:ascii="Verdana" w:hAnsi="Verdana"/>
                <w:sz w:val="22"/>
                <w:szCs w:val="22"/>
              </w:rPr>
              <w:t>615 (1.9%)</w:t>
            </w:r>
          </w:p>
        </w:tc>
        <w:tc>
          <w:tcPr>
            <w:tcW w:w="2552" w:type="dxa"/>
          </w:tcPr>
          <w:p w14:paraId="15BB138F" w14:textId="77777777" w:rsidR="009F2C10" w:rsidRPr="008D6AC4" w:rsidRDefault="009F2C10" w:rsidP="009F2C10">
            <w:pPr>
              <w:jc w:val="both"/>
              <w:rPr>
                <w:rFonts w:ascii="Verdana" w:hAnsi="Verdana"/>
                <w:sz w:val="22"/>
                <w:szCs w:val="22"/>
              </w:rPr>
            </w:pPr>
            <w:r w:rsidRPr="008D6AC4">
              <w:rPr>
                <w:rFonts w:ascii="Verdana" w:hAnsi="Verdana"/>
                <w:sz w:val="22"/>
                <w:szCs w:val="22"/>
              </w:rPr>
              <w:t>434 (1.4%)</w:t>
            </w:r>
          </w:p>
        </w:tc>
      </w:tr>
      <w:tr w:rsidR="009F2C10" w:rsidRPr="008D6AC4" w14:paraId="2C41388B" w14:textId="77777777" w:rsidTr="136F3BEB">
        <w:trPr>
          <w:trHeight w:val="300"/>
        </w:trPr>
        <w:tc>
          <w:tcPr>
            <w:tcW w:w="3686" w:type="dxa"/>
          </w:tcPr>
          <w:p w14:paraId="64A2091E" w14:textId="77777777" w:rsidR="009F2C10" w:rsidRPr="008D6AC4" w:rsidRDefault="009F2C10" w:rsidP="00DB1F01">
            <w:pPr>
              <w:ind w:left="720"/>
              <w:rPr>
                <w:rFonts w:ascii="Verdana" w:hAnsi="Verdana"/>
                <w:sz w:val="22"/>
                <w:szCs w:val="22"/>
              </w:rPr>
            </w:pPr>
            <w:r w:rsidRPr="008D6AC4">
              <w:rPr>
                <w:rFonts w:ascii="Verdana" w:hAnsi="Verdana"/>
                <w:sz w:val="22"/>
                <w:szCs w:val="22"/>
              </w:rPr>
              <w:t>Mixed – White and Asian</w:t>
            </w:r>
          </w:p>
        </w:tc>
        <w:tc>
          <w:tcPr>
            <w:tcW w:w="2551" w:type="dxa"/>
          </w:tcPr>
          <w:p w14:paraId="3744A934" w14:textId="77777777" w:rsidR="009F2C10" w:rsidRPr="008D6AC4" w:rsidRDefault="009F2C10" w:rsidP="009F2C10">
            <w:pPr>
              <w:jc w:val="both"/>
              <w:rPr>
                <w:rFonts w:ascii="Verdana" w:hAnsi="Verdana"/>
                <w:sz w:val="22"/>
                <w:szCs w:val="22"/>
              </w:rPr>
            </w:pPr>
            <w:r w:rsidRPr="008D6AC4">
              <w:rPr>
                <w:rFonts w:ascii="Verdana" w:hAnsi="Verdana"/>
                <w:sz w:val="22"/>
                <w:szCs w:val="22"/>
              </w:rPr>
              <w:t>187 (0.6%)</w:t>
            </w:r>
          </w:p>
        </w:tc>
        <w:tc>
          <w:tcPr>
            <w:tcW w:w="2552" w:type="dxa"/>
          </w:tcPr>
          <w:p w14:paraId="601BF98B" w14:textId="77777777" w:rsidR="009F2C10" w:rsidRPr="008D6AC4" w:rsidRDefault="009F2C10" w:rsidP="009F2C10">
            <w:pPr>
              <w:jc w:val="both"/>
              <w:rPr>
                <w:rFonts w:ascii="Verdana" w:hAnsi="Verdana"/>
                <w:sz w:val="22"/>
                <w:szCs w:val="22"/>
              </w:rPr>
            </w:pPr>
            <w:r w:rsidRPr="008D6AC4">
              <w:rPr>
                <w:rFonts w:ascii="Verdana" w:hAnsi="Verdana"/>
                <w:sz w:val="22"/>
                <w:szCs w:val="22"/>
              </w:rPr>
              <w:t>174 (0.6%)</w:t>
            </w:r>
          </w:p>
        </w:tc>
      </w:tr>
      <w:tr w:rsidR="009F2C10" w:rsidRPr="008D6AC4" w14:paraId="7047D755" w14:textId="77777777" w:rsidTr="136F3BEB">
        <w:trPr>
          <w:trHeight w:val="300"/>
        </w:trPr>
        <w:tc>
          <w:tcPr>
            <w:tcW w:w="3686" w:type="dxa"/>
          </w:tcPr>
          <w:p w14:paraId="5D22E750" w14:textId="77777777" w:rsidR="009F2C10" w:rsidRPr="008D6AC4" w:rsidRDefault="009F2C10" w:rsidP="00DB1F01">
            <w:pPr>
              <w:ind w:left="720"/>
              <w:rPr>
                <w:rFonts w:ascii="Verdana" w:hAnsi="Verdana"/>
                <w:sz w:val="22"/>
                <w:szCs w:val="22"/>
              </w:rPr>
            </w:pPr>
            <w:r w:rsidRPr="008D6AC4">
              <w:rPr>
                <w:rFonts w:ascii="Verdana" w:hAnsi="Verdana"/>
                <w:sz w:val="22"/>
                <w:szCs w:val="22"/>
              </w:rPr>
              <w:lastRenderedPageBreak/>
              <w:t>Mixed – Any other Mixed background</w:t>
            </w:r>
          </w:p>
        </w:tc>
        <w:tc>
          <w:tcPr>
            <w:tcW w:w="2551" w:type="dxa"/>
          </w:tcPr>
          <w:p w14:paraId="1F10D875" w14:textId="77777777" w:rsidR="009F2C10" w:rsidRPr="008D6AC4" w:rsidRDefault="009F2C10" w:rsidP="009F2C10">
            <w:pPr>
              <w:jc w:val="both"/>
              <w:rPr>
                <w:rFonts w:ascii="Verdana" w:hAnsi="Verdana"/>
                <w:sz w:val="22"/>
                <w:szCs w:val="22"/>
              </w:rPr>
            </w:pPr>
            <w:r w:rsidRPr="008D6AC4">
              <w:rPr>
                <w:rFonts w:ascii="Verdana" w:hAnsi="Verdana"/>
                <w:sz w:val="22"/>
                <w:szCs w:val="22"/>
              </w:rPr>
              <w:t>353 (1.1%)</w:t>
            </w:r>
          </w:p>
        </w:tc>
        <w:tc>
          <w:tcPr>
            <w:tcW w:w="2552" w:type="dxa"/>
          </w:tcPr>
          <w:p w14:paraId="644CC5A9" w14:textId="77777777" w:rsidR="009F2C10" w:rsidRPr="008D6AC4" w:rsidRDefault="009F2C10" w:rsidP="009F2C10">
            <w:pPr>
              <w:jc w:val="both"/>
              <w:rPr>
                <w:rFonts w:ascii="Verdana" w:hAnsi="Verdana"/>
                <w:sz w:val="22"/>
                <w:szCs w:val="22"/>
              </w:rPr>
            </w:pPr>
            <w:r w:rsidRPr="008D6AC4">
              <w:rPr>
                <w:rFonts w:ascii="Verdana" w:hAnsi="Verdana"/>
                <w:sz w:val="22"/>
                <w:szCs w:val="22"/>
              </w:rPr>
              <w:t>505 (1.6%)</w:t>
            </w:r>
          </w:p>
        </w:tc>
      </w:tr>
      <w:tr w:rsidR="009F2C10" w:rsidRPr="008D6AC4" w14:paraId="48B10030" w14:textId="77777777" w:rsidTr="136F3BEB">
        <w:trPr>
          <w:trHeight w:val="300"/>
        </w:trPr>
        <w:tc>
          <w:tcPr>
            <w:tcW w:w="3686" w:type="dxa"/>
          </w:tcPr>
          <w:p w14:paraId="0F1CCA26" w14:textId="77777777" w:rsidR="009F2C10" w:rsidRPr="008D6AC4" w:rsidRDefault="009F2C10" w:rsidP="00DB1F01">
            <w:pPr>
              <w:ind w:left="720"/>
              <w:rPr>
                <w:rFonts w:ascii="Verdana" w:hAnsi="Verdana"/>
                <w:sz w:val="22"/>
                <w:szCs w:val="22"/>
              </w:rPr>
            </w:pPr>
            <w:r w:rsidRPr="008D6AC4">
              <w:rPr>
                <w:rFonts w:ascii="Verdana" w:hAnsi="Verdana"/>
                <w:sz w:val="22"/>
                <w:szCs w:val="22"/>
              </w:rPr>
              <w:t xml:space="preserve">Asian or Asian British </w:t>
            </w:r>
            <w:r w:rsidR="00A02363" w:rsidRPr="008D6AC4">
              <w:rPr>
                <w:rFonts w:ascii="Verdana" w:hAnsi="Verdana"/>
                <w:sz w:val="22"/>
                <w:szCs w:val="22"/>
              </w:rPr>
              <w:t xml:space="preserve">– </w:t>
            </w:r>
            <w:r w:rsidRPr="008D6AC4">
              <w:rPr>
                <w:rFonts w:ascii="Verdana" w:hAnsi="Verdana"/>
                <w:sz w:val="22"/>
                <w:szCs w:val="22"/>
              </w:rPr>
              <w:t>Indian</w:t>
            </w:r>
          </w:p>
        </w:tc>
        <w:tc>
          <w:tcPr>
            <w:tcW w:w="2551" w:type="dxa"/>
          </w:tcPr>
          <w:p w14:paraId="5E83C76E" w14:textId="77777777" w:rsidR="009F2C10" w:rsidRPr="008D6AC4" w:rsidRDefault="009F2C10" w:rsidP="009F2C10">
            <w:pPr>
              <w:jc w:val="both"/>
              <w:rPr>
                <w:rFonts w:ascii="Verdana" w:hAnsi="Verdana"/>
                <w:sz w:val="22"/>
                <w:szCs w:val="22"/>
              </w:rPr>
            </w:pPr>
            <w:r w:rsidRPr="008D6AC4">
              <w:rPr>
                <w:rFonts w:ascii="Verdana" w:hAnsi="Verdana"/>
                <w:sz w:val="22"/>
                <w:szCs w:val="22"/>
              </w:rPr>
              <w:t>107 (0.3%)</w:t>
            </w:r>
          </w:p>
        </w:tc>
        <w:tc>
          <w:tcPr>
            <w:tcW w:w="2552" w:type="dxa"/>
          </w:tcPr>
          <w:p w14:paraId="0086A693" w14:textId="77777777" w:rsidR="009F2C10" w:rsidRPr="008D6AC4" w:rsidRDefault="009F2C10" w:rsidP="009F2C10">
            <w:pPr>
              <w:jc w:val="both"/>
              <w:rPr>
                <w:rFonts w:ascii="Verdana" w:hAnsi="Verdana"/>
                <w:sz w:val="22"/>
                <w:szCs w:val="22"/>
              </w:rPr>
            </w:pPr>
            <w:r w:rsidRPr="008D6AC4">
              <w:rPr>
                <w:rFonts w:ascii="Verdana" w:hAnsi="Verdana"/>
                <w:sz w:val="22"/>
                <w:szCs w:val="22"/>
              </w:rPr>
              <w:t>604 (1.9%)</w:t>
            </w:r>
          </w:p>
        </w:tc>
      </w:tr>
      <w:tr w:rsidR="009F2C10" w:rsidRPr="008D6AC4" w14:paraId="3F42C7DC" w14:textId="77777777" w:rsidTr="136F3BEB">
        <w:trPr>
          <w:trHeight w:val="300"/>
        </w:trPr>
        <w:tc>
          <w:tcPr>
            <w:tcW w:w="3686" w:type="dxa"/>
          </w:tcPr>
          <w:p w14:paraId="4961006A" w14:textId="77777777" w:rsidR="009F2C10" w:rsidRPr="0089791B" w:rsidRDefault="009F2C10" w:rsidP="00DB1F01">
            <w:pPr>
              <w:ind w:left="720"/>
              <w:rPr>
                <w:rFonts w:ascii="Verdana" w:hAnsi="Verdana"/>
                <w:sz w:val="22"/>
                <w:szCs w:val="22"/>
                <w:lang w:val="fi-FI"/>
              </w:rPr>
            </w:pPr>
            <w:r w:rsidRPr="0089791B">
              <w:rPr>
                <w:rFonts w:ascii="Verdana" w:hAnsi="Verdana"/>
                <w:sz w:val="22"/>
                <w:szCs w:val="22"/>
                <w:lang w:val="fi-FI"/>
              </w:rPr>
              <w:t xml:space="preserve">Asian or Asian British </w:t>
            </w:r>
            <w:r w:rsidR="00A02363" w:rsidRPr="0089791B">
              <w:rPr>
                <w:rFonts w:ascii="Verdana" w:hAnsi="Verdana"/>
                <w:sz w:val="22"/>
                <w:szCs w:val="22"/>
                <w:lang w:val="fi-FI"/>
              </w:rPr>
              <w:t xml:space="preserve">– </w:t>
            </w:r>
            <w:r w:rsidRPr="0089791B">
              <w:rPr>
                <w:rFonts w:ascii="Verdana" w:hAnsi="Verdana"/>
                <w:sz w:val="22"/>
                <w:szCs w:val="22"/>
                <w:lang w:val="fi-FI"/>
              </w:rPr>
              <w:t>Pakistani</w:t>
            </w:r>
          </w:p>
        </w:tc>
        <w:tc>
          <w:tcPr>
            <w:tcW w:w="2551" w:type="dxa"/>
          </w:tcPr>
          <w:p w14:paraId="2959B2AF" w14:textId="77777777" w:rsidR="009F2C10" w:rsidRPr="008D6AC4" w:rsidRDefault="009F2C10" w:rsidP="009F2C10">
            <w:pPr>
              <w:jc w:val="both"/>
              <w:rPr>
                <w:rFonts w:ascii="Verdana" w:hAnsi="Verdana"/>
                <w:sz w:val="22"/>
                <w:szCs w:val="22"/>
              </w:rPr>
            </w:pPr>
            <w:r w:rsidRPr="008D6AC4">
              <w:rPr>
                <w:rFonts w:ascii="Verdana" w:hAnsi="Verdana"/>
                <w:sz w:val="22"/>
                <w:szCs w:val="22"/>
              </w:rPr>
              <w:t>60 (0.2%)</w:t>
            </w:r>
          </w:p>
        </w:tc>
        <w:tc>
          <w:tcPr>
            <w:tcW w:w="2552" w:type="dxa"/>
          </w:tcPr>
          <w:p w14:paraId="7128A4AF" w14:textId="77777777" w:rsidR="009F2C10" w:rsidRPr="008D6AC4" w:rsidRDefault="009F2C10" w:rsidP="009F2C10">
            <w:pPr>
              <w:jc w:val="both"/>
              <w:rPr>
                <w:rFonts w:ascii="Verdana" w:hAnsi="Verdana"/>
                <w:sz w:val="22"/>
                <w:szCs w:val="22"/>
              </w:rPr>
            </w:pPr>
            <w:r w:rsidRPr="008D6AC4">
              <w:rPr>
                <w:rFonts w:ascii="Verdana" w:hAnsi="Verdana"/>
                <w:sz w:val="22"/>
                <w:szCs w:val="22"/>
              </w:rPr>
              <w:t>61 (0.2%)</w:t>
            </w:r>
          </w:p>
        </w:tc>
      </w:tr>
      <w:tr w:rsidR="009F2C10" w:rsidRPr="008D6AC4" w14:paraId="5F6CA8C0" w14:textId="77777777" w:rsidTr="136F3BEB">
        <w:trPr>
          <w:trHeight w:val="300"/>
        </w:trPr>
        <w:tc>
          <w:tcPr>
            <w:tcW w:w="3686" w:type="dxa"/>
          </w:tcPr>
          <w:p w14:paraId="7FFA072E" w14:textId="77777777" w:rsidR="009F2C10" w:rsidRPr="008D6AC4" w:rsidRDefault="009F2C10" w:rsidP="00DB1F01">
            <w:pPr>
              <w:ind w:left="720"/>
              <w:rPr>
                <w:rFonts w:ascii="Verdana" w:hAnsi="Verdana"/>
                <w:sz w:val="22"/>
                <w:szCs w:val="22"/>
              </w:rPr>
            </w:pPr>
            <w:r w:rsidRPr="008D6AC4">
              <w:rPr>
                <w:rFonts w:ascii="Verdana" w:hAnsi="Verdana"/>
                <w:sz w:val="22"/>
                <w:szCs w:val="22"/>
              </w:rPr>
              <w:t xml:space="preserve">Asian or Asian British </w:t>
            </w:r>
            <w:r w:rsidR="00A02363" w:rsidRPr="008D6AC4">
              <w:rPr>
                <w:rFonts w:ascii="Verdana" w:hAnsi="Verdana"/>
                <w:sz w:val="22"/>
                <w:szCs w:val="22"/>
              </w:rPr>
              <w:t>–</w:t>
            </w:r>
            <w:r w:rsidRPr="008D6AC4">
              <w:rPr>
                <w:rFonts w:ascii="Verdana" w:hAnsi="Verdana"/>
                <w:sz w:val="22"/>
                <w:szCs w:val="22"/>
              </w:rPr>
              <w:t>Bangladeshi</w:t>
            </w:r>
          </w:p>
        </w:tc>
        <w:tc>
          <w:tcPr>
            <w:tcW w:w="2551" w:type="dxa"/>
          </w:tcPr>
          <w:p w14:paraId="35F25BC2" w14:textId="77777777" w:rsidR="009F2C10" w:rsidRPr="008D6AC4" w:rsidRDefault="009F2C10" w:rsidP="009F2C10">
            <w:pPr>
              <w:jc w:val="both"/>
              <w:rPr>
                <w:rFonts w:ascii="Verdana" w:hAnsi="Verdana"/>
                <w:sz w:val="22"/>
                <w:szCs w:val="22"/>
              </w:rPr>
            </w:pPr>
            <w:r w:rsidRPr="008D6AC4">
              <w:rPr>
                <w:rFonts w:ascii="Verdana" w:hAnsi="Verdana"/>
                <w:sz w:val="22"/>
                <w:szCs w:val="22"/>
              </w:rPr>
              <w:t>42 (0.1%)</w:t>
            </w:r>
          </w:p>
        </w:tc>
        <w:tc>
          <w:tcPr>
            <w:tcW w:w="2552" w:type="dxa"/>
          </w:tcPr>
          <w:p w14:paraId="2DB6F89F" w14:textId="77777777" w:rsidR="009F2C10" w:rsidRPr="008D6AC4" w:rsidRDefault="009F2C10" w:rsidP="009F2C10">
            <w:pPr>
              <w:jc w:val="both"/>
              <w:rPr>
                <w:rFonts w:ascii="Verdana" w:hAnsi="Verdana"/>
                <w:sz w:val="22"/>
                <w:szCs w:val="22"/>
              </w:rPr>
            </w:pPr>
            <w:r w:rsidRPr="008D6AC4">
              <w:rPr>
                <w:rFonts w:ascii="Verdana" w:hAnsi="Verdana"/>
                <w:sz w:val="22"/>
                <w:szCs w:val="22"/>
              </w:rPr>
              <w:t>81 (0.3%)</w:t>
            </w:r>
          </w:p>
        </w:tc>
      </w:tr>
      <w:tr w:rsidR="009F2C10" w:rsidRPr="008D6AC4" w14:paraId="43FEB25C" w14:textId="77777777" w:rsidTr="136F3BEB">
        <w:trPr>
          <w:trHeight w:val="300"/>
        </w:trPr>
        <w:tc>
          <w:tcPr>
            <w:tcW w:w="3686" w:type="dxa"/>
          </w:tcPr>
          <w:p w14:paraId="6692C868" w14:textId="77777777" w:rsidR="009F2C10" w:rsidRPr="008D6AC4" w:rsidRDefault="009F2C10" w:rsidP="00DB1F01">
            <w:pPr>
              <w:ind w:left="720"/>
              <w:rPr>
                <w:rFonts w:ascii="Verdana" w:hAnsi="Verdana"/>
                <w:sz w:val="22"/>
                <w:szCs w:val="22"/>
              </w:rPr>
            </w:pPr>
            <w:r w:rsidRPr="008D6AC4">
              <w:rPr>
                <w:rFonts w:ascii="Verdana" w:hAnsi="Verdana"/>
                <w:sz w:val="22"/>
                <w:szCs w:val="22"/>
              </w:rPr>
              <w:t>Asian or Asian British – Any other Asian background</w:t>
            </w:r>
          </w:p>
        </w:tc>
        <w:tc>
          <w:tcPr>
            <w:tcW w:w="2551" w:type="dxa"/>
          </w:tcPr>
          <w:p w14:paraId="281F24E2" w14:textId="77777777" w:rsidR="009F2C10" w:rsidRPr="008D6AC4" w:rsidRDefault="009F2C10" w:rsidP="009F2C10">
            <w:pPr>
              <w:jc w:val="both"/>
              <w:rPr>
                <w:rFonts w:ascii="Verdana" w:hAnsi="Verdana"/>
                <w:sz w:val="22"/>
                <w:szCs w:val="22"/>
              </w:rPr>
            </w:pPr>
            <w:r w:rsidRPr="008D6AC4">
              <w:rPr>
                <w:rFonts w:ascii="Verdana" w:hAnsi="Verdana"/>
                <w:sz w:val="22"/>
                <w:szCs w:val="22"/>
              </w:rPr>
              <w:t>486 (1.5%)</w:t>
            </w:r>
          </w:p>
        </w:tc>
        <w:tc>
          <w:tcPr>
            <w:tcW w:w="2552" w:type="dxa"/>
          </w:tcPr>
          <w:p w14:paraId="4DD6C98B" w14:textId="77777777" w:rsidR="009F2C10" w:rsidRPr="008D6AC4" w:rsidRDefault="009F2C10" w:rsidP="009F2C10">
            <w:pPr>
              <w:jc w:val="both"/>
              <w:rPr>
                <w:rFonts w:ascii="Verdana" w:hAnsi="Verdana"/>
                <w:sz w:val="22"/>
                <w:szCs w:val="22"/>
              </w:rPr>
            </w:pPr>
            <w:r w:rsidRPr="008D6AC4">
              <w:rPr>
                <w:rFonts w:ascii="Verdana" w:hAnsi="Verdana"/>
                <w:sz w:val="22"/>
                <w:szCs w:val="22"/>
              </w:rPr>
              <w:t>343 (1.1%)</w:t>
            </w:r>
          </w:p>
        </w:tc>
      </w:tr>
      <w:tr w:rsidR="009F2C10" w:rsidRPr="008D6AC4" w14:paraId="6D01621C" w14:textId="77777777" w:rsidTr="136F3BEB">
        <w:trPr>
          <w:trHeight w:val="300"/>
        </w:trPr>
        <w:tc>
          <w:tcPr>
            <w:tcW w:w="3686" w:type="dxa"/>
          </w:tcPr>
          <w:p w14:paraId="1D0D5D99" w14:textId="77777777" w:rsidR="009F2C10" w:rsidRPr="008D6AC4" w:rsidRDefault="009F2C10" w:rsidP="00DB1F01">
            <w:pPr>
              <w:ind w:left="720"/>
              <w:rPr>
                <w:rFonts w:ascii="Verdana" w:hAnsi="Verdana"/>
                <w:sz w:val="22"/>
                <w:szCs w:val="22"/>
              </w:rPr>
            </w:pPr>
            <w:r w:rsidRPr="008D6AC4">
              <w:rPr>
                <w:rFonts w:ascii="Verdana" w:hAnsi="Verdana"/>
                <w:sz w:val="22"/>
                <w:szCs w:val="22"/>
              </w:rPr>
              <w:t>Black or Black British</w:t>
            </w:r>
            <w:r w:rsidR="00A02363" w:rsidRPr="008D6AC4">
              <w:rPr>
                <w:rFonts w:ascii="Verdana" w:hAnsi="Verdana"/>
                <w:sz w:val="22"/>
                <w:szCs w:val="22"/>
              </w:rPr>
              <w:t xml:space="preserve"> – </w:t>
            </w:r>
            <w:r w:rsidRPr="008D6AC4">
              <w:rPr>
                <w:rFonts w:ascii="Verdana" w:hAnsi="Verdana"/>
                <w:sz w:val="22"/>
                <w:szCs w:val="22"/>
              </w:rPr>
              <w:t>Caribbean</w:t>
            </w:r>
          </w:p>
        </w:tc>
        <w:tc>
          <w:tcPr>
            <w:tcW w:w="2551" w:type="dxa"/>
          </w:tcPr>
          <w:p w14:paraId="24CC78D2" w14:textId="77777777" w:rsidR="009F2C10" w:rsidRPr="008D6AC4" w:rsidRDefault="009F2C10" w:rsidP="009F2C10">
            <w:pPr>
              <w:jc w:val="both"/>
              <w:rPr>
                <w:rFonts w:ascii="Verdana" w:hAnsi="Verdana"/>
                <w:sz w:val="22"/>
                <w:szCs w:val="22"/>
              </w:rPr>
            </w:pPr>
            <w:r w:rsidRPr="008D6AC4">
              <w:rPr>
                <w:rFonts w:ascii="Verdana" w:hAnsi="Verdana"/>
                <w:sz w:val="22"/>
                <w:szCs w:val="22"/>
              </w:rPr>
              <w:t>114 (0.3%)</w:t>
            </w:r>
          </w:p>
        </w:tc>
        <w:tc>
          <w:tcPr>
            <w:tcW w:w="2552" w:type="dxa"/>
          </w:tcPr>
          <w:p w14:paraId="5343D9A5" w14:textId="77777777" w:rsidR="009F2C10" w:rsidRPr="008D6AC4" w:rsidRDefault="009F2C10" w:rsidP="009F2C10">
            <w:pPr>
              <w:jc w:val="both"/>
              <w:rPr>
                <w:rFonts w:ascii="Verdana" w:hAnsi="Verdana"/>
                <w:sz w:val="22"/>
                <w:szCs w:val="22"/>
              </w:rPr>
            </w:pPr>
            <w:r w:rsidRPr="008D6AC4">
              <w:rPr>
                <w:rFonts w:ascii="Verdana" w:hAnsi="Verdana"/>
                <w:sz w:val="22"/>
                <w:szCs w:val="22"/>
              </w:rPr>
              <w:t>330 (1.1%)</w:t>
            </w:r>
          </w:p>
        </w:tc>
      </w:tr>
      <w:tr w:rsidR="009F2C10" w:rsidRPr="008D6AC4" w14:paraId="0CFEDC08" w14:textId="77777777" w:rsidTr="136F3BEB">
        <w:trPr>
          <w:trHeight w:val="300"/>
        </w:trPr>
        <w:tc>
          <w:tcPr>
            <w:tcW w:w="3686" w:type="dxa"/>
          </w:tcPr>
          <w:p w14:paraId="691DBDD6" w14:textId="77777777" w:rsidR="009F2C10" w:rsidRPr="008D6AC4" w:rsidRDefault="009F2C10" w:rsidP="00DB1F01">
            <w:pPr>
              <w:ind w:left="720"/>
              <w:rPr>
                <w:rFonts w:ascii="Verdana" w:hAnsi="Verdana"/>
                <w:sz w:val="22"/>
                <w:szCs w:val="22"/>
              </w:rPr>
            </w:pPr>
            <w:r w:rsidRPr="008D6AC4">
              <w:rPr>
                <w:rFonts w:ascii="Verdana" w:hAnsi="Verdana"/>
                <w:sz w:val="22"/>
                <w:szCs w:val="22"/>
              </w:rPr>
              <w:t>Black or Black British</w:t>
            </w:r>
            <w:r w:rsidR="006C5DED" w:rsidRPr="008D6AC4">
              <w:rPr>
                <w:rFonts w:ascii="Verdana" w:hAnsi="Verdana"/>
                <w:sz w:val="22"/>
                <w:szCs w:val="22"/>
              </w:rPr>
              <w:t xml:space="preserve"> – </w:t>
            </w:r>
            <w:r w:rsidRPr="008D6AC4">
              <w:rPr>
                <w:rFonts w:ascii="Verdana" w:hAnsi="Verdana"/>
                <w:sz w:val="22"/>
                <w:szCs w:val="22"/>
              </w:rPr>
              <w:t>African</w:t>
            </w:r>
          </w:p>
        </w:tc>
        <w:tc>
          <w:tcPr>
            <w:tcW w:w="2551" w:type="dxa"/>
          </w:tcPr>
          <w:p w14:paraId="3508A9B6" w14:textId="77777777" w:rsidR="009F2C10" w:rsidRPr="008D6AC4" w:rsidRDefault="009F2C10" w:rsidP="009F2C10">
            <w:pPr>
              <w:jc w:val="both"/>
              <w:rPr>
                <w:rFonts w:ascii="Verdana" w:hAnsi="Verdana"/>
                <w:sz w:val="22"/>
                <w:szCs w:val="22"/>
              </w:rPr>
            </w:pPr>
            <w:r w:rsidRPr="008D6AC4">
              <w:rPr>
                <w:rFonts w:ascii="Verdana" w:hAnsi="Verdana"/>
                <w:sz w:val="22"/>
                <w:szCs w:val="22"/>
              </w:rPr>
              <w:t>948 (2.9%)</w:t>
            </w:r>
          </w:p>
        </w:tc>
        <w:tc>
          <w:tcPr>
            <w:tcW w:w="2552" w:type="dxa"/>
          </w:tcPr>
          <w:p w14:paraId="28638555" w14:textId="77777777" w:rsidR="009F2C10" w:rsidRPr="008D6AC4" w:rsidRDefault="009F2C10" w:rsidP="009F2C10">
            <w:pPr>
              <w:jc w:val="both"/>
              <w:rPr>
                <w:rFonts w:ascii="Verdana" w:hAnsi="Verdana"/>
                <w:sz w:val="22"/>
                <w:szCs w:val="22"/>
              </w:rPr>
            </w:pPr>
            <w:r w:rsidRPr="008D6AC4">
              <w:rPr>
                <w:rFonts w:ascii="Verdana" w:hAnsi="Verdana"/>
                <w:sz w:val="22"/>
                <w:szCs w:val="22"/>
              </w:rPr>
              <w:t>2,782 (8.9%)</w:t>
            </w:r>
          </w:p>
        </w:tc>
      </w:tr>
      <w:tr w:rsidR="009F2C10" w:rsidRPr="008D6AC4" w14:paraId="54A7465B" w14:textId="77777777" w:rsidTr="136F3BEB">
        <w:trPr>
          <w:trHeight w:val="300"/>
        </w:trPr>
        <w:tc>
          <w:tcPr>
            <w:tcW w:w="3686" w:type="dxa"/>
          </w:tcPr>
          <w:p w14:paraId="284BE3B1" w14:textId="77777777" w:rsidR="009F2C10" w:rsidRPr="008D6AC4" w:rsidRDefault="009F2C10" w:rsidP="00DB1F01">
            <w:pPr>
              <w:ind w:left="720"/>
              <w:rPr>
                <w:rFonts w:ascii="Verdana" w:hAnsi="Verdana"/>
                <w:sz w:val="22"/>
                <w:szCs w:val="22"/>
              </w:rPr>
            </w:pPr>
            <w:r w:rsidRPr="008D6AC4">
              <w:rPr>
                <w:rFonts w:ascii="Verdana" w:hAnsi="Verdana"/>
                <w:sz w:val="22"/>
                <w:szCs w:val="22"/>
              </w:rPr>
              <w:t>Black or Black British – Any other Black background</w:t>
            </w:r>
          </w:p>
        </w:tc>
        <w:tc>
          <w:tcPr>
            <w:tcW w:w="2551" w:type="dxa"/>
          </w:tcPr>
          <w:p w14:paraId="026ACD67" w14:textId="77777777" w:rsidR="009F2C10" w:rsidRPr="008D6AC4" w:rsidRDefault="009F2C10" w:rsidP="009F2C10">
            <w:pPr>
              <w:jc w:val="both"/>
              <w:rPr>
                <w:rFonts w:ascii="Verdana" w:hAnsi="Verdana"/>
                <w:sz w:val="22"/>
                <w:szCs w:val="22"/>
              </w:rPr>
            </w:pPr>
            <w:r w:rsidRPr="008D6AC4">
              <w:rPr>
                <w:rFonts w:ascii="Verdana" w:hAnsi="Verdana"/>
                <w:sz w:val="22"/>
                <w:szCs w:val="22"/>
              </w:rPr>
              <w:t>133 (0.4%)</w:t>
            </w:r>
          </w:p>
        </w:tc>
        <w:tc>
          <w:tcPr>
            <w:tcW w:w="2552" w:type="dxa"/>
          </w:tcPr>
          <w:p w14:paraId="5656A290" w14:textId="77777777" w:rsidR="009F2C10" w:rsidRPr="008D6AC4" w:rsidRDefault="009F2C10" w:rsidP="009F2C10">
            <w:pPr>
              <w:jc w:val="both"/>
              <w:rPr>
                <w:rFonts w:ascii="Verdana" w:hAnsi="Verdana"/>
                <w:sz w:val="22"/>
                <w:szCs w:val="22"/>
              </w:rPr>
            </w:pPr>
            <w:r w:rsidRPr="008D6AC4">
              <w:rPr>
                <w:rFonts w:ascii="Verdana" w:hAnsi="Verdana"/>
                <w:sz w:val="22"/>
                <w:szCs w:val="22"/>
              </w:rPr>
              <w:t>295 (0.9%)</w:t>
            </w:r>
          </w:p>
        </w:tc>
      </w:tr>
      <w:tr w:rsidR="009F2C10" w:rsidRPr="008D6AC4" w14:paraId="20BDE4EF" w14:textId="77777777" w:rsidTr="136F3BEB">
        <w:trPr>
          <w:trHeight w:val="300"/>
        </w:trPr>
        <w:tc>
          <w:tcPr>
            <w:tcW w:w="3686" w:type="dxa"/>
          </w:tcPr>
          <w:p w14:paraId="3042EBF3" w14:textId="77777777" w:rsidR="009F2C10" w:rsidRPr="008D6AC4" w:rsidRDefault="009F2C10" w:rsidP="00DB1F01">
            <w:pPr>
              <w:ind w:left="720"/>
              <w:rPr>
                <w:rFonts w:ascii="Verdana" w:hAnsi="Verdana"/>
                <w:sz w:val="22"/>
                <w:szCs w:val="22"/>
              </w:rPr>
            </w:pPr>
            <w:r w:rsidRPr="008D6AC4">
              <w:rPr>
                <w:rFonts w:ascii="Verdana" w:hAnsi="Verdana"/>
                <w:sz w:val="22"/>
                <w:szCs w:val="22"/>
              </w:rPr>
              <w:t>Other Ethnic Groups</w:t>
            </w:r>
            <w:r w:rsidR="00D837E2" w:rsidRPr="008D6AC4">
              <w:rPr>
                <w:rFonts w:ascii="Verdana" w:hAnsi="Verdana"/>
                <w:sz w:val="22"/>
                <w:szCs w:val="22"/>
              </w:rPr>
              <w:t xml:space="preserve"> – </w:t>
            </w:r>
            <w:r w:rsidRPr="008D6AC4">
              <w:rPr>
                <w:rFonts w:ascii="Verdana" w:hAnsi="Verdana"/>
                <w:sz w:val="22"/>
                <w:szCs w:val="22"/>
              </w:rPr>
              <w:t>Chinese</w:t>
            </w:r>
          </w:p>
        </w:tc>
        <w:tc>
          <w:tcPr>
            <w:tcW w:w="2551" w:type="dxa"/>
          </w:tcPr>
          <w:p w14:paraId="1262896B" w14:textId="77777777" w:rsidR="009F2C10" w:rsidRPr="008D6AC4" w:rsidRDefault="009F2C10" w:rsidP="009F2C10">
            <w:pPr>
              <w:jc w:val="both"/>
              <w:rPr>
                <w:rFonts w:ascii="Verdana" w:hAnsi="Verdana"/>
                <w:sz w:val="22"/>
                <w:szCs w:val="22"/>
              </w:rPr>
            </w:pPr>
            <w:r w:rsidRPr="008D6AC4">
              <w:rPr>
                <w:rFonts w:ascii="Verdana" w:hAnsi="Verdana"/>
                <w:sz w:val="22"/>
                <w:szCs w:val="22"/>
              </w:rPr>
              <w:t>103 (0.3%)</w:t>
            </w:r>
          </w:p>
        </w:tc>
        <w:tc>
          <w:tcPr>
            <w:tcW w:w="2552" w:type="dxa"/>
          </w:tcPr>
          <w:p w14:paraId="693E93ED" w14:textId="77777777" w:rsidR="009F2C10" w:rsidRPr="008D6AC4" w:rsidRDefault="009F2C10" w:rsidP="009F2C10">
            <w:pPr>
              <w:jc w:val="both"/>
              <w:rPr>
                <w:rFonts w:ascii="Verdana" w:hAnsi="Verdana"/>
                <w:sz w:val="22"/>
                <w:szCs w:val="22"/>
              </w:rPr>
            </w:pPr>
            <w:r w:rsidRPr="008D6AC4">
              <w:rPr>
                <w:rFonts w:ascii="Verdana" w:hAnsi="Verdana"/>
                <w:sz w:val="22"/>
                <w:szCs w:val="22"/>
              </w:rPr>
              <w:t>76 (0.2%)</w:t>
            </w:r>
          </w:p>
        </w:tc>
      </w:tr>
      <w:tr w:rsidR="009F2C10" w:rsidRPr="008D6AC4" w14:paraId="59C5E132" w14:textId="77777777" w:rsidTr="136F3BEB">
        <w:trPr>
          <w:trHeight w:val="300"/>
        </w:trPr>
        <w:tc>
          <w:tcPr>
            <w:tcW w:w="3686" w:type="dxa"/>
          </w:tcPr>
          <w:p w14:paraId="300465A3" w14:textId="77777777" w:rsidR="009F2C10" w:rsidRPr="008D6AC4" w:rsidRDefault="009F2C10" w:rsidP="00DB1F01">
            <w:pPr>
              <w:ind w:left="720"/>
              <w:rPr>
                <w:rFonts w:ascii="Verdana" w:hAnsi="Verdana"/>
                <w:sz w:val="22"/>
                <w:szCs w:val="22"/>
              </w:rPr>
            </w:pPr>
            <w:r w:rsidRPr="008D6AC4">
              <w:rPr>
                <w:rFonts w:ascii="Verdana" w:hAnsi="Verdana"/>
                <w:sz w:val="22"/>
                <w:szCs w:val="22"/>
              </w:rPr>
              <w:t>Other Ethnic Groups – Any other ethnic group</w:t>
            </w:r>
          </w:p>
        </w:tc>
        <w:tc>
          <w:tcPr>
            <w:tcW w:w="2551" w:type="dxa"/>
          </w:tcPr>
          <w:p w14:paraId="33BBFCA0" w14:textId="77777777" w:rsidR="009F2C10" w:rsidRPr="008D6AC4" w:rsidRDefault="009F2C10" w:rsidP="009F2C10">
            <w:pPr>
              <w:jc w:val="both"/>
              <w:rPr>
                <w:rFonts w:ascii="Verdana" w:hAnsi="Verdana"/>
                <w:sz w:val="22"/>
                <w:szCs w:val="22"/>
              </w:rPr>
            </w:pPr>
            <w:r w:rsidRPr="008D6AC4">
              <w:rPr>
                <w:rFonts w:ascii="Verdana" w:hAnsi="Verdana"/>
                <w:sz w:val="22"/>
                <w:szCs w:val="22"/>
              </w:rPr>
              <w:t>226 (0.7%)</w:t>
            </w:r>
          </w:p>
        </w:tc>
        <w:tc>
          <w:tcPr>
            <w:tcW w:w="2552" w:type="dxa"/>
          </w:tcPr>
          <w:p w14:paraId="4DD75ADE" w14:textId="77777777" w:rsidR="009F2C10" w:rsidRPr="008D6AC4" w:rsidRDefault="009F2C10" w:rsidP="009F2C10">
            <w:pPr>
              <w:jc w:val="both"/>
              <w:rPr>
                <w:rFonts w:ascii="Verdana" w:hAnsi="Verdana"/>
                <w:sz w:val="22"/>
                <w:szCs w:val="22"/>
              </w:rPr>
            </w:pPr>
            <w:r w:rsidRPr="008D6AC4">
              <w:rPr>
                <w:rFonts w:ascii="Verdana" w:hAnsi="Verdana"/>
                <w:sz w:val="22"/>
                <w:szCs w:val="22"/>
              </w:rPr>
              <w:t>253 (0.8%)</w:t>
            </w:r>
          </w:p>
        </w:tc>
      </w:tr>
      <w:tr w:rsidR="009F2C10" w:rsidRPr="008D6AC4" w14:paraId="4DF16B09" w14:textId="77777777" w:rsidTr="136F3BEB">
        <w:trPr>
          <w:trHeight w:val="300"/>
        </w:trPr>
        <w:tc>
          <w:tcPr>
            <w:tcW w:w="3686" w:type="dxa"/>
          </w:tcPr>
          <w:p w14:paraId="175D203F" w14:textId="77777777" w:rsidR="009F2C10" w:rsidRPr="008D6AC4" w:rsidRDefault="009F2C10" w:rsidP="00DB1F01">
            <w:pPr>
              <w:ind w:left="720"/>
              <w:rPr>
                <w:rFonts w:ascii="Verdana" w:hAnsi="Verdana"/>
                <w:sz w:val="22"/>
                <w:szCs w:val="22"/>
              </w:rPr>
            </w:pPr>
            <w:r w:rsidRPr="008D6AC4">
              <w:rPr>
                <w:rFonts w:ascii="Verdana" w:hAnsi="Verdana"/>
                <w:sz w:val="22"/>
                <w:szCs w:val="22"/>
              </w:rPr>
              <w:t>Not stated or Blank</w:t>
            </w:r>
          </w:p>
        </w:tc>
        <w:tc>
          <w:tcPr>
            <w:tcW w:w="2551" w:type="dxa"/>
          </w:tcPr>
          <w:p w14:paraId="6AAAC5A2" w14:textId="77777777" w:rsidR="009F2C10" w:rsidRPr="008D6AC4" w:rsidRDefault="009F2C10" w:rsidP="009F2C10">
            <w:pPr>
              <w:jc w:val="both"/>
              <w:rPr>
                <w:rFonts w:ascii="Verdana" w:hAnsi="Verdana"/>
                <w:sz w:val="22"/>
                <w:szCs w:val="22"/>
              </w:rPr>
            </w:pPr>
            <w:r w:rsidRPr="008D6AC4">
              <w:rPr>
                <w:rFonts w:ascii="Verdana" w:hAnsi="Verdana"/>
                <w:sz w:val="22"/>
                <w:szCs w:val="22"/>
              </w:rPr>
              <w:t>1,628 (5.0%)</w:t>
            </w:r>
          </w:p>
        </w:tc>
        <w:tc>
          <w:tcPr>
            <w:tcW w:w="2552" w:type="dxa"/>
          </w:tcPr>
          <w:p w14:paraId="346CD342" w14:textId="77777777" w:rsidR="009F2C10" w:rsidRPr="008D6AC4" w:rsidRDefault="009F2C10" w:rsidP="009F2C10">
            <w:pPr>
              <w:jc w:val="both"/>
              <w:rPr>
                <w:rFonts w:ascii="Verdana" w:hAnsi="Verdana"/>
                <w:sz w:val="22"/>
                <w:szCs w:val="22"/>
              </w:rPr>
            </w:pPr>
            <w:r w:rsidRPr="008D6AC4">
              <w:rPr>
                <w:rFonts w:ascii="Verdana" w:hAnsi="Verdana"/>
                <w:sz w:val="22"/>
                <w:szCs w:val="22"/>
              </w:rPr>
              <w:t>60 (0.2%)</w:t>
            </w:r>
          </w:p>
        </w:tc>
      </w:tr>
    </w:tbl>
    <w:p w14:paraId="41A40CDD" w14:textId="77777777" w:rsidR="136F3BEB" w:rsidRDefault="136F3BEB" w:rsidP="136F3BEB">
      <w:pPr>
        <w:jc w:val="both"/>
        <w:rPr>
          <w:rFonts w:ascii="Verdana" w:hAnsi="Verdana"/>
          <w:sz w:val="22"/>
          <w:szCs w:val="22"/>
        </w:rPr>
      </w:pPr>
    </w:p>
    <w:p w14:paraId="4D8E56E5" w14:textId="77777777" w:rsidR="009F2C10" w:rsidRPr="008D6AC4" w:rsidRDefault="009F2C10" w:rsidP="009F2C10">
      <w:pPr>
        <w:jc w:val="both"/>
        <w:rPr>
          <w:rFonts w:ascii="Verdana" w:hAnsi="Verdana"/>
          <w:sz w:val="22"/>
          <w:szCs w:val="22"/>
        </w:rPr>
      </w:pPr>
      <w:r w:rsidRPr="008D6AC4">
        <w:rPr>
          <w:rFonts w:ascii="Verdana" w:hAnsi="Verdana"/>
          <w:sz w:val="22"/>
          <w:szCs w:val="22"/>
        </w:rPr>
        <w:t xml:space="preserve">Overall, more women are accessing the services than men, but we are unclear whether there is an unmet need in males and further insights work may help to understand this. People who identify as gay, lesbian, or bisexual are presented in Kent’s ISHS in higher proportions than in the general population which is positive. </w:t>
      </w:r>
    </w:p>
    <w:p w14:paraId="68A87C82" w14:textId="77777777" w:rsidR="009F2C10" w:rsidRPr="008D6AC4" w:rsidRDefault="009F2C10" w:rsidP="002E081D">
      <w:pPr>
        <w:jc w:val="both"/>
        <w:rPr>
          <w:rFonts w:ascii="Verdana" w:hAnsi="Verdana"/>
          <w:sz w:val="22"/>
          <w:szCs w:val="22"/>
        </w:rPr>
      </w:pPr>
      <w:r w:rsidRPr="008D6AC4">
        <w:rPr>
          <w:rFonts w:ascii="Verdana" w:hAnsi="Verdana"/>
          <w:sz w:val="22"/>
          <w:szCs w:val="22"/>
        </w:rPr>
        <w:t xml:space="preserve">Both services have an outreach element providing specialist sexual health services for populations with the highest needs, including asylum seekers, sex workers and young people with complex sexual health needs. This service uses a place based working approach to reach those who are the most underserved and who may be less likely to use the service. </w:t>
      </w:r>
    </w:p>
    <w:p w14:paraId="22BD87F5" w14:textId="77777777" w:rsidR="009F2C10" w:rsidRPr="008D6AC4" w:rsidRDefault="2398A52E" w:rsidP="00DB1F01">
      <w:pPr>
        <w:jc w:val="both"/>
        <w:rPr>
          <w:rFonts w:ascii="Verdana" w:hAnsi="Verdana"/>
          <w:sz w:val="22"/>
          <w:szCs w:val="22"/>
        </w:rPr>
      </w:pPr>
      <w:r w:rsidRPr="008D6AC4">
        <w:rPr>
          <w:rFonts w:ascii="Verdana" w:hAnsi="Verdana"/>
          <w:sz w:val="22"/>
          <w:szCs w:val="22"/>
        </w:rPr>
        <w:lastRenderedPageBreak/>
        <w:t>The services are promoted through the KCC sexual health web pages</w:t>
      </w:r>
      <w:r w:rsidR="009F2C10" w:rsidRPr="008D6AC4">
        <w:rPr>
          <w:rStyle w:val="FootnoteReference"/>
          <w:rFonts w:ascii="Verdana" w:hAnsi="Verdana"/>
          <w:sz w:val="22"/>
          <w:szCs w:val="22"/>
        </w:rPr>
        <w:footnoteReference w:id="99"/>
      </w:r>
      <w:r w:rsidRPr="008D6AC4">
        <w:rPr>
          <w:rFonts w:ascii="Verdana" w:hAnsi="Verdana"/>
          <w:sz w:val="22"/>
          <w:szCs w:val="22"/>
        </w:rPr>
        <w:t>. A sexual health campaign to raise awareness amongst young people and direct people to the KCC sexual health website was last run by KCC in 2021/22. Between July and October 2021 there were 27,226 pageviews, a rise from pre-pandemic 2019 activity of 24,080. In 2023/24 there was no allowance for sexual health in the campaigns budget. National campaigns are also supported by KCC via social media channels.</w:t>
      </w:r>
    </w:p>
    <w:p w14:paraId="5C1577BA" w14:textId="77777777" w:rsidR="00EF3DD0" w:rsidRPr="00864DDB" w:rsidRDefault="77F3BA34" w:rsidP="49636075">
      <w:pPr>
        <w:pStyle w:val="Heading2"/>
        <w:numPr>
          <w:ilvl w:val="0"/>
          <w:numId w:val="0"/>
        </w:numPr>
        <w:rPr>
          <w:rFonts w:ascii="Verdana" w:eastAsia="Verdana" w:hAnsi="Verdana" w:cs="Verdana"/>
          <w:sz w:val="22"/>
          <w:szCs w:val="22"/>
        </w:rPr>
      </w:pPr>
      <w:bookmarkStart w:id="46" w:name="_Toc8688685"/>
      <w:r w:rsidRPr="136F3BEB">
        <w:rPr>
          <w:rFonts w:ascii="Verdana" w:hAnsi="Verdana"/>
          <w:sz w:val="22"/>
          <w:szCs w:val="22"/>
        </w:rPr>
        <w:t xml:space="preserve">5.1.1 </w:t>
      </w:r>
      <w:r w:rsidR="61581207" w:rsidRPr="136F3BEB">
        <w:rPr>
          <w:rFonts w:ascii="Verdana" w:eastAsia="Verdana" w:hAnsi="Verdana" w:cs="Verdana"/>
          <w:sz w:val="22"/>
          <w:szCs w:val="22"/>
        </w:rPr>
        <w:t>East Kent ISH Services provided by KCHFT</w:t>
      </w:r>
      <w:bookmarkEnd w:id="46"/>
    </w:p>
    <w:p w14:paraId="3E9EFD7A" w14:textId="77777777" w:rsidR="009F2C10" w:rsidRPr="008D6AC4" w:rsidRDefault="009F2C10" w:rsidP="009F2C10">
      <w:pPr>
        <w:jc w:val="both"/>
        <w:rPr>
          <w:rFonts w:ascii="Verdana" w:hAnsi="Verdana"/>
          <w:sz w:val="22"/>
          <w:szCs w:val="22"/>
        </w:rPr>
      </w:pPr>
      <w:r w:rsidRPr="6B91972C">
        <w:rPr>
          <w:rFonts w:ascii="Verdana" w:hAnsi="Verdana"/>
          <w:sz w:val="22"/>
          <w:szCs w:val="22"/>
        </w:rPr>
        <w:t>In East Kent, services are located in five of the six districts.  The Gate Clinic in Canterbury offers level 3 provision for more specialist sexual health needs and is a very busy service due to Canterbury’s student population. The new Flete clinic at QEQM in Margate opened in late 2023, with the aim of providing level 3 provision and reducing demand on the Canterbury clinic. There is no face-to-face service in Dover meaning residents would have to travel to Canterbury, Folkestone or Ramsgate using unreliable transport links meaning an inequality in access to services in East Kent.</w:t>
      </w:r>
    </w:p>
    <w:p w14:paraId="746F022A" w14:textId="77777777" w:rsidR="009F2C10" w:rsidRPr="008D6AC4" w:rsidRDefault="009F2C10" w:rsidP="009F2C10">
      <w:pPr>
        <w:jc w:val="both"/>
        <w:rPr>
          <w:rFonts w:ascii="Verdana" w:hAnsi="Verdana"/>
          <w:sz w:val="22"/>
          <w:szCs w:val="22"/>
        </w:rPr>
      </w:pPr>
      <w:r w:rsidRPr="008D6AC4">
        <w:rPr>
          <w:rFonts w:ascii="Verdana" w:hAnsi="Verdana"/>
          <w:sz w:val="22"/>
          <w:szCs w:val="22"/>
        </w:rPr>
        <w:t>The service is accessed via self-referral. During the COVID-19 pandemic, this moved to a telephone triage to signpost patients to alternative services if appropriate (such as online STI testing), with the aim of reducing the number of face-to-face clinic appointments required. Walk-in clinics which were used pre-pandemic stopped and have not been reinstated.</w:t>
      </w:r>
    </w:p>
    <w:p w14:paraId="61B30515" w14:textId="77777777" w:rsidR="009F2C10" w:rsidRPr="008D6AC4" w:rsidRDefault="009F2C10" w:rsidP="009F2C10">
      <w:pPr>
        <w:jc w:val="both"/>
        <w:rPr>
          <w:rFonts w:ascii="Verdana" w:hAnsi="Verdana"/>
          <w:sz w:val="22"/>
          <w:szCs w:val="22"/>
        </w:rPr>
      </w:pPr>
      <w:r w:rsidRPr="008D6AC4">
        <w:rPr>
          <w:rFonts w:ascii="Verdana" w:hAnsi="Verdana"/>
          <w:sz w:val="22"/>
          <w:szCs w:val="22"/>
        </w:rPr>
        <w:t xml:space="preserve">Average wait times following initial triage in 2022/23 were 2.27 days for a genito-urinary medicine (GUM) appointment and 2.69 days for a sexual and reproductive health (SRH) appointment. </w:t>
      </w:r>
    </w:p>
    <w:p w14:paraId="2BD6F256" w14:textId="77777777" w:rsidR="009F2C10" w:rsidRPr="008D6AC4" w:rsidRDefault="316CE3F0" w:rsidP="009F2C10">
      <w:pPr>
        <w:jc w:val="both"/>
        <w:rPr>
          <w:rFonts w:ascii="Verdana" w:hAnsi="Verdana"/>
          <w:sz w:val="22"/>
          <w:szCs w:val="22"/>
        </w:rPr>
      </w:pPr>
      <w:r w:rsidRPr="008D6AC4">
        <w:rPr>
          <w:rFonts w:ascii="Verdana" w:hAnsi="Verdana"/>
          <w:sz w:val="22"/>
          <w:szCs w:val="22"/>
        </w:rPr>
        <w:t xml:space="preserve">The service also provides long-acting reversible contraception (LARC), with a target of </w:t>
      </w:r>
      <w:r w:rsidR="00EF7886" w:rsidRPr="008D6AC4">
        <w:rPr>
          <w:rFonts w:ascii="Verdana" w:hAnsi="Verdana"/>
          <w:sz w:val="22"/>
          <w:szCs w:val="22"/>
        </w:rPr>
        <w:t xml:space="preserve">less than </w:t>
      </w:r>
      <w:r w:rsidRPr="008D6AC4">
        <w:rPr>
          <w:rFonts w:ascii="Verdana" w:hAnsi="Verdana"/>
          <w:sz w:val="22"/>
          <w:szCs w:val="22"/>
        </w:rPr>
        <w:t xml:space="preserve">6 weeks wait time from first consultation to insertion of the contraceptive device. In 2021/22 and 2022/23 this was achieved in 100.0% of cases, after a brief drop, this has now returned to 100% for all months of 2024. </w:t>
      </w:r>
    </w:p>
    <w:p w14:paraId="701BA2CF" w14:textId="77777777" w:rsidR="760A2D49" w:rsidRPr="008D6AC4" w:rsidRDefault="760A2D49" w:rsidP="4A0F6D8A">
      <w:pPr>
        <w:jc w:val="both"/>
        <w:rPr>
          <w:rFonts w:ascii="Verdana" w:hAnsi="Verdana"/>
          <w:sz w:val="22"/>
          <w:szCs w:val="22"/>
        </w:rPr>
      </w:pPr>
      <w:r w:rsidRPr="008D6AC4">
        <w:rPr>
          <w:rFonts w:ascii="Verdana" w:hAnsi="Verdana"/>
          <w:sz w:val="22"/>
          <w:szCs w:val="22"/>
        </w:rPr>
        <w:t>KCHFT have recently switched to a new IT system called Inform for managing appointments. General feedback on the system to commissioners has been positive</w:t>
      </w:r>
      <w:r w:rsidR="0B11D720" w:rsidRPr="008D6AC4">
        <w:rPr>
          <w:rFonts w:ascii="Verdana" w:hAnsi="Verdana"/>
          <w:sz w:val="22"/>
          <w:szCs w:val="22"/>
        </w:rPr>
        <w:t xml:space="preserve"> and will continue to be reviewed.</w:t>
      </w:r>
    </w:p>
    <w:p w14:paraId="6F41C9AB" w14:textId="77777777" w:rsidR="009F2C10" w:rsidRPr="008D6AC4" w:rsidRDefault="009F2C10" w:rsidP="009F2C10">
      <w:pPr>
        <w:jc w:val="both"/>
        <w:rPr>
          <w:rFonts w:ascii="Verdana" w:hAnsi="Verdana"/>
          <w:sz w:val="22"/>
          <w:szCs w:val="22"/>
        </w:rPr>
      </w:pPr>
      <w:r w:rsidRPr="008D6AC4">
        <w:rPr>
          <w:rFonts w:ascii="Verdana" w:hAnsi="Verdana"/>
          <w:sz w:val="22"/>
          <w:szCs w:val="22"/>
        </w:rPr>
        <w:t>First-time patients are offered a full sexual health screen, including chlamydia, gonorrhoea, syphilis and HIV testing.</w:t>
      </w:r>
      <w:r w:rsidR="002E081D">
        <w:rPr>
          <w:rFonts w:ascii="Verdana" w:hAnsi="Verdana"/>
          <w:sz w:val="22"/>
          <w:szCs w:val="22"/>
        </w:rPr>
        <w:t xml:space="preserve"> </w:t>
      </w:r>
      <w:r w:rsidRPr="008D6AC4">
        <w:rPr>
          <w:rFonts w:ascii="Verdana" w:hAnsi="Verdana"/>
          <w:sz w:val="22"/>
          <w:szCs w:val="22"/>
        </w:rPr>
        <w:t xml:space="preserve">In 2023/24 thus far, 99.1% were offered and 1219 (87.6%) accepted. In patients testing positive for infection, </w:t>
      </w:r>
      <w:r w:rsidR="00EF7886" w:rsidRPr="008D6AC4">
        <w:rPr>
          <w:rFonts w:ascii="Verdana" w:hAnsi="Verdana"/>
          <w:sz w:val="22"/>
          <w:szCs w:val="22"/>
        </w:rPr>
        <w:t xml:space="preserve">more than </w:t>
      </w:r>
      <w:r w:rsidRPr="008D6AC4">
        <w:rPr>
          <w:rFonts w:ascii="Verdana" w:hAnsi="Verdana"/>
          <w:sz w:val="22"/>
          <w:szCs w:val="22"/>
        </w:rPr>
        <w:t>97% should have a documented partner notification plan. This was achieved in 98.6% of patients in 2022/23 and 100.0% in 2023/24 to date.</w:t>
      </w:r>
    </w:p>
    <w:p w14:paraId="49E2A9AB" w14:textId="77777777" w:rsidR="009F2C10" w:rsidRPr="008D6AC4" w:rsidRDefault="009F2C10" w:rsidP="009F2C10">
      <w:pPr>
        <w:rPr>
          <w:rFonts w:ascii="Verdana" w:hAnsi="Verdana"/>
          <w:sz w:val="22"/>
          <w:szCs w:val="22"/>
        </w:rPr>
      </w:pPr>
    </w:p>
    <w:p w14:paraId="1793EB67" w14:textId="77777777" w:rsidR="009F2C10" w:rsidRPr="008D6AC4" w:rsidRDefault="009F2C10" w:rsidP="009F2C10">
      <w:pPr>
        <w:jc w:val="both"/>
        <w:rPr>
          <w:rFonts w:ascii="Verdana" w:hAnsi="Verdana"/>
          <w:sz w:val="22"/>
          <w:szCs w:val="22"/>
        </w:rPr>
      </w:pPr>
      <w:r w:rsidRPr="008D6AC4">
        <w:rPr>
          <w:rFonts w:ascii="Verdana" w:hAnsi="Verdana"/>
          <w:sz w:val="22"/>
          <w:szCs w:val="22"/>
        </w:rPr>
        <w:lastRenderedPageBreak/>
        <w:t xml:space="preserve">KCC has a section 75 agreement with NHSE for provision of HIV outpatient services. The HIV budget is bundled with the integrated sexual health service budget to facilitate seamless payments to KCHFT. </w:t>
      </w:r>
    </w:p>
    <w:p w14:paraId="20BA7F93" w14:textId="77777777" w:rsidR="009F2C10" w:rsidRPr="008D6AC4" w:rsidRDefault="009F2C10" w:rsidP="002E081D">
      <w:pPr>
        <w:jc w:val="both"/>
        <w:rPr>
          <w:rFonts w:ascii="Verdana" w:hAnsi="Verdana"/>
          <w:color w:val="000000" w:themeColor="text1"/>
          <w:sz w:val="22"/>
          <w:szCs w:val="22"/>
        </w:rPr>
      </w:pPr>
      <w:r w:rsidRPr="008D6AC4">
        <w:rPr>
          <w:rFonts w:ascii="Verdana" w:hAnsi="Verdana"/>
          <w:color w:val="000000" w:themeColor="text1"/>
          <w:sz w:val="22"/>
          <w:szCs w:val="22"/>
        </w:rPr>
        <w:t xml:space="preserve">As part of a pilot, KCHFT recruited a clinical psychologist within the ISH service to provide streamlined psychological support to patients with mental health problems who access the ISH service. This is a different service to the psychosexual therapy service discussed below which focuses on sexual problems causing distress. Overall, 114 patients were supported during this pilot 62 male, 42 female. It was seen as enhancing the holistic offer of the service with the secondary benefit to the staff knowledge and understanding of psychological support that patients need. </w:t>
      </w:r>
    </w:p>
    <w:p w14:paraId="2DBCE3E0" w14:textId="77777777" w:rsidR="4A0F6D8A" w:rsidRPr="008D6AC4" w:rsidRDefault="316CE3F0" w:rsidP="4A0F6D8A">
      <w:pPr>
        <w:jc w:val="both"/>
        <w:rPr>
          <w:rFonts w:ascii="Verdana" w:hAnsi="Verdana"/>
          <w:sz w:val="22"/>
          <w:szCs w:val="22"/>
          <w:highlight w:val="magenta"/>
        </w:rPr>
      </w:pPr>
      <w:r w:rsidRPr="008D6AC4">
        <w:rPr>
          <w:rFonts w:ascii="Verdana" w:hAnsi="Verdana"/>
          <w:sz w:val="22"/>
          <w:szCs w:val="22"/>
        </w:rPr>
        <w:t xml:space="preserve">It is a recommendation of this report that commissioners seek to imbed this into the ISHS offer. </w:t>
      </w:r>
    </w:p>
    <w:p w14:paraId="427EC810" w14:textId="77777777" w:rsidR="009F2C10" w:rsidRPr="00864DDB" w:rsidRDefault="33326B8F" w:rsidP="49636075">
      <w:pPr>
        <w:pStyle w:val="Heading2"/>
        <w:numPr>
          <w:ilvl w:val="0"/>
          <w:numId w:val="0"/>
        </w:numPr>
        <w:rPr>
          <w:rFonts w:ascii="Verdana" w:eastAsia="Verdana" w:hAnsi="Verdana" w:cs="Verdana"/>
          <w:sz w:val="22"/>
          <w:szCs w:val="22"/>
        </w:rPr>
      </w:pPr>
      <w:bookmarkStart w:id="47" w:name="_Toc565613006"/>
      <w:r w:rsidRPr="136F3BEB">
        <w:rPr>
          <w:rFonts w:ascii="Verdana" w:hAnsi="Verdana"/>
          <w:sz w:val="22"/>
          <w:szCs w:val="22"/>
        </w:rPr>
        <w:t xml:space="preserve">5.1.2 </w:t>
      </w:r>
      <w:r w:rsidR="61581207" w:rsidRPr="136F3BEB">
        <w:rPr>
          <w:rFonts w:ascii="Verdana" w:eastAsia="Verdana" w:hAnsi="Verdana" w:cs="Verdana"/>
          <w:sz w:val="22"/>
          <w:szCs w:val="22"/>
        </w:rPr>
        <w:t>North and West Kent ISH Services provided by MTW</w:t>
      </w:r>
      <w:bookmarkEnd w:id="47"/>
    </w:p>
    <w:p w14:paraId="14CDF6CA" w14:textId="77777777" w:rsidR="009F2C10" w:rsidRPr="008D6AC4" w:rsidRDefault="009F2C10" w:rsidP="009F2C10">
      <w:pPr>
        <w:jc w:val="both"/>
        <w:rPr>
          <w:rFonts w:ascii="Verdana" w:hAnsi="Verdana"/>
          <w:sz w:val="22"/>
          <w:szCs w:val="22"/>
        </w:rPr>
      </w:pPr>
      <w:r w:rsidRPr="008D6AC4">
        <w:rPr>
          <w:rFonts w:ascii="Verdana" w:hAnsi="Verdana"/>
          <w:sz w:val="22"/>
          <w:szCs w:val="22"/>
        </w:rPr>
        <w:t>In North and West Kent, the integrated sexual health services are located in four of the six districts, with two sites in North Kent (Gravesham and Dartford), and two sites in West Kent (Maidstone and Tunbridge Wells). Sites in Sevenoaks and Tonbridge that were provided in general practices closed during the COVID-19 pandemic and have not re-opened due to the space within these practices no longer being available, resulting in geographical inequalities in access. The Gravesham site offers a level 3 service.</w:t>
      </w:r>
    </w:p>
    <w:p w14:paraId="3C816937" w14:textId="77777777" w:rsidR="009F2C10" w:rsidRPr="008D6AC4" w:rsidRDefault="009F2C10" w:rsidP="009F2C10">
      <w:pPr>
        <w:jc w:val="both"/>
        <w:rPr>
          <w:rFonts w:ascii="Verdana" w:hAnsi="Verdana"/>
          <w:sz w:val="22"/>
          <w:szCs w:val="22"/>
        </w:rPr>
      </w:pPr>
      <w:r w:rsidRPr="008D6AC4">
        <w:rPr>
          <w:rFonts w:ascii="Verdana" w:hAnsi="Verdana"/>
          <w:sz w:val="22"/>
          <w:szCs w:val="22"/>
        </w:rPr>
        <w:t xml:space="preserve">The service is accessed via telephone self-referral to a centralised number. Calls are triaged and patients are either booked into a relevant clinic, or signposted to an alternative service if more appropriate, for example online STI testing. A staff member must be present to accept the call and organise a triage appointment, which can be a barrier to access, given that MTW have reported difficulty in recruiting receptionist roles. </w:t>
      </w:r>
    </w:p>
    <w:p w14:paraId="4BAE47E9" w14:textId="77777777" w:rsidR="009F2C10" w:rsidRPr="008D6AC4" w:rsidRDefault="009F2C10" w:rsidP="009F2C10">
      <w:pPr>
        <w:jc w:val="both"/>
        <w:rPr>
          <w:rFonts w:ascii="Verdana" w:hAnsi="Verdana"/>
          <w:sz w:val="22"/>
          <w:szCs w:val="22"/>
        </w:rPr>
      </w:pPr>
      <w:r w:rsidRPr="008D6AC4">
        <w:rPr>
          <w:rFonts w:ascii="Verdana" w:hAnsi="Verdana"/>
          <w:sz w:val="22"/>
          <w:szCs w:val="22"/>
        </w:rPr>
        <w:t xml:space="preserve">There was a decline in numbers of GUM appointments booked within four working days of initial triage which was thought to be due to several factors including the temporary closure of the Overy Street Clinic in Dartford and the introduction of walk-in clinics. These clinics have been re-introduced post-pandemic and have been a success; however, they reduce capacity for booked appointments. Over 500 patients were seen in the initial 5 months of the reintroduction of the one walk-in clinic slot. Two-thirds of these patients were under 25 and some of them were travelling from outside of MTW’s area demonstrating the need for them. </w:t>
      </w:r>
    </w:p>
    <w:p w14:paraId="780982D1" w14:textId="77777777" w:rsidR="009F2C10" w:rsidRPr="008D6AC4" w:rsidRDefault="009F2C10" w:rsidP="009F2C10">
      <w:pPr>
        <w:jc w:val="both"/>
        <w:rPr>
          <w:rFonts w:ascii="Verdana" w:hAnsi="Verdana"/>
          <w:sz w:val="22"/>
          <w:szCs w:val="22"/>
        </w:rPr>
      </w:pPr>
      <w:r w:rsidRPr="008D6AC4">
        <w:rPr>
          <w:rFonts w:ascii="Verdana" w:hAnsi="Verdana"/>
          <w:sz w:val="22"/>
          <w:szCs w:val="22"/>
        </w:rPr>
        <w:t xml:space="preserve">The service also provides long-acting reversible contraception (LARC), where patients currently have </w:t>
      </w:r>
      <w:r w:rsidR="00D06822" w:rsidRPr="008D6AC4">
        <w:rPr>
          <w:rFonts w:ascii="Verdana" w:hAnsi="Verdana"/>
          <w:sz w:val="22"/>
          <w:szCs w:val="22"/>
        </w:rPr>
        <w:t xml:space="preserve">less than </w:t>
      </w:r>
      <w:r w:rsidRPr="008D6AC4">
        <w:rPr>
          <w:rFonts w:ascii="Verdana" w:hAnsi="Verdana"/>
          <w:sz w:val="22"/>
          <w:szCs w:val="22"/>
        </w:rPr>
        <w:t>6 weeks wait time from first consultation to insertion of the contraceptive device. This was achieved in 2021/22, 2022/23, and to date in 2023/24.</w:t>
      </w:r>
    </w:p>
    <w:p w14:paraId="1FEC8F94" w14:textId="77777777" w:rsidR="009F2C10" w:rsidRPr="008D6AC4" w:rsidRDefault="3D289D90" w:rsidP="4A0F6D8A">
      <w:pPr>
        <w:jc w:val="both"/>
        <w:rPr>
          <w:rFonts w:ascii="Verdana" w:hAnsi="Verdana"/>
          <w:sz w:val="22"/>
          <w:szCs w:val="22"/>
        </w:rPr>
      </w:pPr>
      <w:r w:rsidRPr="008D6AC4">
        <w:rPr>
          <w:rFonts w:ascii="Verdana" w:hAnsi="Verdana"/>
          <w:sz w:val="22"/>
          <w:szCs w:val="22"/>
        </w:rPr>
        <w:lastRenderedPageBreak/>
        <w:t>In North and West Kent</w:t>
      </w:r>
      <w:r w:rsidR="316CE3F0" w:rsidRPr="008D6AC4">
        <w:rPr>
          <w:rFonts w:ascii="Verdana" w:hAnsi="Verdana"/>
          <w:sz w:val="22"/>
          <w:szCs w:val="22"/>
        </w:rPr>
        <w:t>, the Lilie digital system is used to record information and SMS text messages are sent to patients to minimise DNAs. There is no live-chat function in use in North and West Kent.</w:t>
      </w:r>
    </w:p>
    <w:p w14:paraId="514CD9C9" w14:textId="77777777" w:rsidR="009F2C10" w:rsidRPr="008D6AC4" w:rsidRDefault="009F2C10" w:rsidP="009F2C10">
      <w:pPr>
        <w:jc w:val="both"/>
        <w:rPr>
          <w:rFonts w:ascii="Verdana" w:hAnsi="Verdana"/>
          <w:sz w:val="22"/>
          <w:szCs w:val="22"/>
        </w:rPr>
      </w:pPr>
      <w:r w:rsidRPr="008D6AC4">
        <w:rPr>
          <w:rFonts w:ascii="Verdana" w:hAnsi="Verdana"/>
          <w:sz w:val="22"/>
          <w:szCs w:val="22"/>
        </w:rPr>
        <w:t>First-time patients are offered a full sexual health screen, including chlamydia, gonorrhoea, syphilis and HIV testing. In 2023/24, 66.0% were offered and 454 (100.0%) accepted</w:t>
      </w:r>
      <w:r w:rsidR="002E081D">
        <w:rPr>
          <w:rFonts w:ascii="Verdana" w:hAnsi="Verdana"/>
          <w:sz w:val="22"/>
          <w:szCs w:val="22"/>
        </w:rPr>
        <w:t xml:space="preserve"> a full screen</w:t>
      </w:r>
      <w:r w:rsidRPr="008D6AC4">
        <w:rPr>
          <w:rFonts w:ascii="Verdana" w:hAnsi="Verdana"/>
          <w:sz w:val="22"/>
          <w:szCs w:val="22"/>
        </w:rPr>
        <w:t xml:space="preserve">. The proportion of first-time patients offered the screen in North and West Kent is substantially lower than in East Kent. Discussions between the two providers suggest there are coding differences in how this data is recorded and more investigation is required before setting a formal KPI target for North and West Kent. </w:t>
      </w:r>
    </w:p>
    <w:p w14:paraId="0C4BD6A1" w14:textId="77777777" w:rsidR="009F2C10" w:rsidRPr="008D6AC4" w:rsidRDefault="009F2C10" w:rsidP="009F2C10">
      <w:pPr>
        <w:jc w:val="both"/>
        <w:rPr>
          <w:rFonts w:ascii="Verdana" w:hAnsi="Verdana"/>
          <w:sz w:val="22"/>
          <w:szCs w:val="22"/>
        </w:rPr>
      </w:pPr>
      <w:r w:rsidRPr="008D6AC4">
        <w:rPr>
          <w:rFonts w:ascii="Verdana" w:hAnsi="Verdana"/>
          <w:sz w:val="22"/>
          <w:szCs w:val="22"/>
        </w:rPr>
        <w:t xml:space="preserve">In patients testing positive for infection, </w:t>
      </w:r>
      <w:r w:rsidR="00D06822" w:rsidRPr="008D6AC4">
        <w:rPr>
          <w:rFonts w:ascii="Verdana" w:hAnsi="Verdana"/>
          <w:sz w:val="22"/>
          <w:szCs w:val="22"/>
        </w:rPr>
        <w:t xml:space="preserve">more than </w:t>
      </w:r>
      <w:r w:rsidRPr="008D6AC4">
        <w:rPr>
          <w:rFonts w:ascii="Verdana" w:hAnsi="Verdana"/>
          <w:sz w:val="22"/>
          <w:szCs w:val="22"/>
        </w:rPr>
        <w:t>97% should have a documented partner notification plan. This was achieved in 99.8% of patients in 2022/23 and 100.0% in 2023/24 to date.</w:t>
      </w:r>
    </w:p>
    <w:p w14:paraId="54759376" w14:textId="77777777" w:rsidR="009F2C10" w:rsidRPr="008D6AC4" w:rsidRDefault="009F2C10" w:rsidP="009F2C10">
      <w:pPr>
        <w:jc w:val="both"/>
        <w:rPr>
          <w:rFonts w:ascii="Verdana" w:hAnsi="Verdana"/>
          <w:sz w:val="22"/>
          <w:szCs w:val="22"/>
        </w:rPr>
      </w:pPr>
      <w:r w:rsidRPr="008D6AC4">
        <w:rPr>
          <w:rFonts w:ascii="Verdana" w:hAnsi="Verdana"/>
          <w:sz w:val="22"/>
          <w:szCs w:val="22"/>
        </w:rPr>
        <w:t>Feedback for the service is generally very positive with patients reporting friendly and professional staff with short waiting times.</w:t>
      </w:r>
    </w:p>
    <w:p w14:paraId="3DA6FFD1" w14:textId="77777777" w:rsidR="009F2C10" w:rsidRPr="008D6AC4" w:rsidRDefault="009F2C10" w:rsidP="009F2C10">
      <w:pPr>
        <w:jc w:val="both"/>
        <w:rPr>
          <w:rFonts w:ascii="Verdana" w:hAnsi="Verdana"/>
          <w:sz w:val="22"/>
          <w:szCs w:val="22"/>
        </w:rPr>
      </w:pPr>
      <w:r w:rsidRPr="008D6AC4">
        <w:rPr>
          <w:rFonts w:ascii="Verdana" w:hAnsi="Verdana"/>
          <w:sz w:val="22"/>
          <w:szCs w:val="22"/>
        </w:rPr>
        <w:t>MTW has promoted the service as part of national initiatives, for example the hiring of a bus with HIV branding to raise awareness, and outreach activities during HIV testing week. However, there is limited understanding of how MTW promote the service via their digital channels.</w:t>
      </w:r>
    </w:p>
    <w:p w14:paraId="4AB0C89F" w14:textId="77777777" w:rsidR="009F2C10" w:rsidRPr="008D6AC4" w:rsidRDefault="009F2C10" w:rsidP="009F2C10">
      <w:pPr>
        <w:jc w:val="both"/>
        <w:rPr>
          <w:rFonts w:ascii="Verdana" w:hAnsi="Verdana"/>
          <w:sz w:val="22"/>
          <w:szCs w:val="22"/>
        </w:rPr>
      </w:pPr>
      <w:r w:rsidRPr="008D6AC4">
        <w:rPr>
          <w:rFonts w:ascii="Verdana" w:hAnsi="Verdana"/>
          <w:sz w:val="22"/>
          <w:szCs w:val="22"/>
        </w:rPr>
        <w:t>KCC has a section 75 agreement with NHSE for provision of HIV outpatient services. The HIV budget is bundled with the integrated sexual health service budget to facilitate seamless payments to MTW.</w:t>
      </w:r>
    </w:p>
    <w:p w14:paraId="7B0D517A" w14:textId="77777777" w:rsidR="009F2C10" w:rsidRPr="008D6AC4" w:rsidRDefault="009F2C10" w:rsidP="009F2C10">
      <w:pPr>
        <w:rPr>
          <w:rFonts w:ascii="Verdana" w:hAnsi="Verdana"/>
          <w:sz w:val="22"/>
          <w:szCs w:val="22"/>
        </w:rPr>
      </w:pPr>
      <w:r w:rsidRPr="008D6AC4">
        <w:rPr>
          <w:rFonts w:ascii="Verdana" w:hAnsi="Verdana"/>
          <w:sz w:val="22"/>
          <w:szCs w:val="22"/>
        </w:rPr>
        <w:t xml:space="preserve">The integrated service budget does not include cost of premises which are paid for by KCC, adding a significant cost to the service. </w:t>
      </w:r>
    </w:p>
    <w:p w14:paraId="48FBADBB" w14:textId="77777777" w:rsidR="009F2C10" w:rsidRPr="0089791B" w:rsidRDefault="5B30B8F1" w:rsidP="136F3BEB">
      <w:pPr>
        <w:pStyle w:val="Heading2"/>
        <w:numPr>
          <w:ilvl w:val="0"/>
          <w:numId w:val="0"/>
        </w:numPr>
        <w:rPr>
          <w:rFonts w:ascii="Verdana" w:hAnsi="Verdana" w:cstheme="minorBidi"/>
          <w:sz w:val="22"/>
          <w:szCs w:val="22"/>
        </w:rPr>
      </w:pPr>
      <w:bookmarkStart w:id="48" w:name="_Toc77644166"/>
      <w:r w:rsidRPr="136F3BEB">
        <w:rPr>
          <w:rFonts w:ascii="Verdana" w:hAnsi="Verdana"/>
          <w:sz w:val="22"/>
          <w:szCs w:val="22"/>
        </w:rPr>
        <w:t xml:space="preserve">5.1.3 </w:t>
      </w:r>
      <w:r w:rsidR="61581207" w:rsidRPr="136F3BEB">
        <w:rPr>
          <w:rFonts w:ascii="Verdana" w:hAnsi="Verdana" w:cstheme="minorBidi"/>
          <w:sz w:val="22"/>
          <w:szCs w:val="22"/>
        </w:rPr>
        <w:t>Strengths of the Integrated Sexual Health Service</w:t>
      </w:r>
      <w:bookmarkEnd w:id="48"/>
    </w:p>
    <w:p w14:paraId="7A44B4E0" w14:textId="77777777" w:rsidR="009F2C10" w:rsidRPr="008D6AC4" w:rsidRDefault="009F2C10" w:rsidP="00F8351F">
      <w:pPr>
        <w:pStyle w:val="ListParagraph"/>
        <w:numPr>
          <w:ilvl w:val="0"/>
          <w:numId w:val="7"/>
        </w:numPr>
        <w:spacing w:before="0" w:after="160" w:line="259" w:lineRule="auto"/>
        <w:jc w:val="both"/>
        <w:rPr>
          <w:rFonts w:ascii="Verdana" w:hAnsi="Verdana"/>
          <w:sz w:val="22"/>
          <w:szCs w:val="22"/>
        </w:rPr>
      </w:pPr>
      <w:r w:rsidRPr="008D6AC4">
        <w:rPr>
          <w:rFonts w:ascii="Verdana" w:hAnsi="Verdana"/>
          <w:sz w:val="22"/>
          <w:szCs w:val="22"/>
        </w:rPr>
        <w:t>An integrated model means that people who need to access sexual health support can be offered more services in one place</w:t>
      </w:r>
      <w:r w:rsidR="00D06822" w:rsidRPr="008D6AC4">
        <w:rPr>
          <w:rFonts w:ascii="Verdana" w:hAnsi="Verdana"/>
          <w:sz w:val="22"/>
          <w:szCs w:val="22"/>
        </w:rPr>
        <w:t>.</w:t>
      </w:r>
    </w:p>
    <w:p w14:paraId="38DBDC54" w14:textId="77777777" w:rsidR="009F2C10" w:rsidRPr="008D6AC4" w:rsidRDefault="316CE3F0" w:rsidP="00F8351F">
      <w:pPr>
        <w:pStyle w:val="ListParagraph"/>
        <w:numPr>
          <w:ilvl w:val="0"/>
          <w:numId w:val="7"/>
        </w:numPr>
        <w:spacing w:before="0" w:after="160" w:line="259" w:lineRule="auto"/>
        <w:jc w:val="both"/>
        <w:rPr>
          <w:rFonts w:ascii="Verdana" w:hAnsi="Verdana"/>
          <w:sz w:val="22"/>
          <w:szCs w:val="22"/>
        </w:rPr>
      </w:pPr>
      <w:r w:rsidRPr="008D6AC4">
        <w:rPr>
          <w:rFonts w:ascii="Verdana" w:hAnsi="Verdana"/>
          <w:sz w:val="22"/>
          <w:szCs w:val="22"/>
        </w:rPr>
        <w:t>Wait times for the KCHFT provided service are consistently above the target for waiting times, meaning people can access an ISH appointment when required. The MTW service has slightly longer waits for booked appointments, but they run a walk-in clinic which is well received, and they have made improvements to bring this within target. Nationally, there are issues with access which Kent are not experiencing at present meaning our residents are able to get access to a service quickly when they need it in the majority of cases</w:t>
      </w:r>
      <w:r w:rsidR="6B8808DF" w:rsidRPr="008D6AC4">
        <w:rPr>
          <w:rFonts w:ascii="Verdana" w:hAnsi="Verdana"/>
          <w:sz w:val="22"/>
          <w:szCs w:val="22"/>
        </w:rPr>
        <w:t>.</w:t>
      </w:r>
    </w:p>
    <w:p w14:paraId="65A04C2B" w14:textId="77777777" w:rsidR="009F2C10" w:rsidRPr="008D6AC4" w:rsidRDefault="009F2C10" w:rsidP="00F8351F">
      <w:pPr>
        <w:pStyle w:val="ListParagraph"/>
        <w:numPr>
          <w:ilvl w:val="0"/>
          <w:numId w:val="7"/>
        </w:numPr>
        <w:spacing w:before="0" w:after="160" w:line="259" w:lineRule="auto"/>
        <w:jc w:val="both"/>
        <w:rPr>
          <w:rFonts w:ascii="Verdana" w:hAnsi="Verdana"/>
          <w:sz w:val="22"/>
          <w:szCs w:val="22"/>
        </w:rPr>
      </w:pPr>
      <w:r w:rsidRPr="008D6AC4">
        <w:rPr>
          <w:rFonts w:ascii="Verdana" w:hAnsi="Verdana"/>
          <w:sz w:val="22"/>
          <w:szCs w:val="22"/>
        </w:rPr>
        <w:t xml:space="preserve">First time patients are nearly always offered a STI screen and most accept in the KCHFT service. </w:t>
      </w:r>
    </w:p>
    <w:p w14:paraId="5196FCAA" w14:textId="77777777" w:rsidR="009F2C10" w:rsidRPr="008D6AC4" w:rsidRDefault="009F2C10" w:rsidP="00F8351F">
      <w:pPr>
        <w:pStyle w:val="ListParagraph"/>
        <w:numPr>
          <w:ilvl w:val="0"/>
          <w:numId w:val="7"/>
        </w:numPr>
        <w:spacing w:before="0" w:after="160" w:line="259" w:lineRule="auto"/>
        <w:jc w:val="both"/>
        <w:rPr>
          <w:rFonts w:ascii="Verdana" w:hAnsi="Verdana"/>
          <w:sz w:val="22"/>
          <w:szCs w:val="22"/>
        </w:rPr>
      </w:pPr>
      <w:r w:rsidRPr="008D6AC4">
        <w:rPr>
          <w:rFonts w:ascii="Verdana" w:hAnsi="Verdana"/>
          <w:sz w:val="22"/>
          <w:szCs w:val="22"/>
        </w:rPr>
        <w:t>Use of LARC wait times have been consistently below the target of 6 weeks in the MTW service.</w:t>
      </w:r>
    </w:p>
    <w:p w14:paraId="2867E6F1" w14:textId="77777777" w:rsidR="009F2C10" w:rsidRPr="008D6AC4" w:rsidRDefault="009F2C10" w:rsidP="00F8351F">
      <w:pPr>
        <w:pStyle w:val="ListParagraph"/>
        <w:numPr>
          <w:ilvl w:val="0"/>
          <w:numId w:val="7"/>
        </w:numPr>
        <w:spacing w:before="0" w:after="160" w:line="259" w:lineRule="auto"/>
        <w:jc w:val="both"/>
        <w:rPr>
          <w:rFonts w:ascii="Verdana" w:hAnsi="Verdana"/>
          <w:sz w:val="22"/>
          <w:szCs w:val="22"/>
        </w:rPr>
      </w:pPr>
      <w:r w:rsidRPr="008D6AC4">
        <w:rPr>
          <w:rFonts w:ascii="Verdana" w:hAnsi="Verdana"/>
          <w:sz w:val="22"/>
          <w:szCs w:val="22"/>
        </w:rPr>
        <w:t>Patient insights indicate high satisfaction with both services.</w:t>
      </w:r>
    </w:p>
    <w:p w14:paraId="35137595" w14:textId="77777777" w:rsidR="009F2C10" w:rsidRPr="0089791B" w:rsidRDefault="5F5E11D2" w:rsidP="136F3BEB">
      <w:pPr>
        <w:pStyle w:val="Heading2"/>
        <w:numPr>
          <w:ilvl w:val="0"/>
          <w:numId w:val="0"/>
        </w:numPr>
        <w:rPr>
          <w:rFonts w:ascii="Verdana" w:hAnsi="Verdana" w:cstheme="minorBidi"/>
          <w:sz w:val="22"/>
          <w:szCs w:val="22"/>
        </w:rPr>
      </w:pPr>
      <w:bookmarkStart w:id="49" w:name="_Toc1682483619"/>
      <w:r w:rsidRPr="136F3BEB">
        <w:rPr>
          <w:rFonts w:ascii="Verdana" w:hAnsi="Verdana"/>
          <w:sz w:val="22"/>
          <w:szCs w:val="22"/>
        </w:rPr>
        <w:lastRenderedPageBreak/>
        <w:t xml:space="preserve">5.1.4 </w:t>
      </w:r>
      <w:r w:rsidR="61581207" w:rsidRPr="136F3BEB">
        <w:rPr>
          <w:rFonts w:ascii="Verdana" w:hAnsi="Verdana"/>
          <w:sz w:val="22"/>
          <w:szCs w:val="22"/>
        </w:rPr>
        <w:t>Recommendations for the Integrated Sexual health service</w:t>
      </w:r>
      <w:bookmarkEnd w:id="49"/>
    </w:p>
    <w:p w14:paraId="46929A4A" w14:textId="77777777" w:rsidR="00D06822" w:rsidRPr="008D6AC4" w:rsidRDefault="34A4A29E" w:rsidP="00F8351F">
      <w:pPr>
        <w:pStyle w:val="ListParagraph"/>
        <w:numPr>
          <w:ilvl w:val="0"/>
          <w:numId w:val="30"/>
        </w:numPr>
        <w:spacing w:before="0" w:after="0" w:line="259" w:lineRule="auto"/>
        <w:rPr>
          <w:rFonts w:ascii="Verdana" w:eastAsia="Verdana" w:hAnsi="Verdana" w:cs="Verdana"/>
          <w:color w:val="000000" w:themeColor="text1"/>
          <w:sz w:val="22"/>
          <w:szCs w:val="22"/>
          <w:lang w:val="en-US"/>
        </w:rPr>
      </w:pPr>
      <w:r w:rsidRPr="008D6AC4">
        <w:rPr>
          <w:rFonts w:ascii="Verdana" w:eastAsia="Verdana" w:hAnsi="Verdana" w:cs="Verdana"/>
          <w:color w:val="000000" w:themeColor="text1"/>
          <w:sz w:val="22"/>
          <w:szCs w:val="22"/>
        </w:rPr>
        <w:t>Integrated sexual health services (ISHS) specifications should be updated to include changes to policies and understanding after the pandemic and since the last SHNA.</w:t>
      </w:r>
    </w:p>
    <w:p w14:paraId="0135D577" w14:textId="77777777" w:rsidR="00D06822" w:rsidRPr="008D6AC4" w:rsidRDefault="34A4A29E" w:rsidP="00F8351F">
      <w:pPr>
        <w:pStyle w:val="ListParagraph"/>
        <w:numPr>
          <w:ilvl w:val="0"/>
          <w:numId w:val="30"/>
        </w:numPr>
        <w:spacing w:before="0" w:after="0" w:line="259" w:lineRule="auto"/>
        <w:rPr>
          <w:rFonts w:ascii="Verdana" w:eastAsia="Verdana" w:hAnsi="Verdana" w:cs="Verdana"/>
          <w:color w:val="000000" w:themeColor="text1"/>
          <w:sz w:val="22"/>
          <w:szCs w:val="22"/>
          <w:lang w:val="en-US"/>
        </w:rPr>
      </w:pPr>
      <w:r w:rsidRPr="008D6AC4">
        <w:rPr>
          <w:rFonts w:ascii="Verdana" w:eastAsia="Verdana" w:hAnsi="Verdana" w:cs="Verdana"/>
          <w:color w:val="000000" w:themeColor="text1"/>
          <w:sz w:val="22"/>
          <w:szCs w:val="22"/>
        </w:rPr>
        <w:t>Continue with service in the integrated model, with focus on reducing STI’s and access to contraception</w:t>
      </w:r>
      <w:r w:rsidR="00D06822" w:rsidRPr="008D6AC4">
        <w:rPr>
          <w:rFonts w:ascii="Verdana" w:eastAsia="Verdana" w:hAnsi="Verdana" w:cs="Verdana"/>
          <w:color w:val="000000" w:themeColor="text1"/>
          <w:sz w:val="22"/>
          <w:szCs w:val="22"/>
        </w:rPr>
        <w:t>.</w:t>
      </w:r>
    </w:p>
    <w:p w14:paraId="094ADBC6" w14:textId="77777777" w:rsidR="00D06822" w:rsidRPr="008D6AC4" w:rsidRDefault="34A4A29E" w:rsidP="00F8351F">
      <w:pPr>
        <w:pStyle w:val="ListParagraph"/>
        <w:numPr>
          <w:ilvl w:val="0"/>
          <w:numId w:val="30"/>
        </w:numPr>
        <w:spacing w:before="0" w:after="0" w:line="259" w:lineRule="auto"/>
        <w:rPr>
          <w:rFonts w:ascii="Verdana" w:eastAsia="Verdana" w:hAnsi="Verdana" w:cs="Verdana"/>
          <w:color w:val="000000" w:themeColor="text1"/>
          <w:sz w:val="22"/>
          <w:szCs w:val="22"/>
          <w:lang w:val="en-US"/>
        </w:rPr>
      </w:pPr>
      <w:r w:rsidRPr="008D6AC4">
        <w:rPr>
          <w:rFonts w:ascii="Verdana" w:eastAsia="Verdana" w:hAnsi="Verdana" w:cs="Verdana"/>
          <w:color w:val="000000" w:themeColor="text1"/>
          <w:sz w:val="22"/>
          <w:szCs w:val="22"/>
        </w:rPr>
        <w:t xml:space="preserve">To consider how providers can work closer together and share systems or job roles, ensuring equitable access options for the Kent population. </w:t>
      </w:r>
    </w:p>
    <w:p w14:paraId="17DDEE7C" w14:textId="77777777" w:rsidR="00D06822" w:rsidRPr="008D6AC4" w:rsidRDefault="34A4A29E" w:rsidP="00F8351F">
      <w:pPr>
        <w:pStyle w:val="ListParagraph"/>
        <w:numPr>
          <w:ilvl w:val="0"/>
          <w:numId w:val="30"/>
        </w:numPr>
        <w:spacing w:before="0" w:after="0" w:line="259" w:lineRule="auto"/>
        <w:rPr>
          <w:rFonts w:ascii="Verdana" w:eastAsia="Verdana" w:hAnsi="Verdana" w:cs="Verdana"/>
          <w:color w:val="000000" w:themeColor="text1"/>
          <w:sz w:val="22"/>
          <w:szCs w:val="22"/>
          <w:lang w:val="en-US"/>
        </w:rPr>
      </w:pPr>
      <w:r w:rsidRPr="008D6AC4">
        <w:rPr>
          <w:rFonts w:ascii="Verdana" w:eastAsia="Verdana" w:hAnsi="Verdana" w:cs="Verdana"/>
          <w:color w:val="000000" w:themeColor="text1"/>
          <w:sz w:val="22"/>
          <w:szCs w:val="22"/>
        </w:rPr>
        <w:t>To consider the introduction of a clinic in Dover, given the potential transport issues in residents travelling to another clinic. </w:t>
      </w:r>
    </w:p>
    <w:p w14:paraId="3812C8D3" w14:textId="77777777" w:rsidR="00D06822" w:rsidRPr="008D6AC4" w:rsidRDefault="34A4A29E" w:rsidP="00F8351F">
      <w:pPr>
        <w:pStyle w:val="ListParagraph"/>
        <w:numPr>
          <w:ilvl w:val="0"/>
          <w:numId w:val="30"/>
        </w:numPr>
        <w:spacing w:before="0" w:after="0" w:line="259" w:lineRule="auto"/>
        <w:rPr>
          <w:rFonts w:ascii="Verdana" w:eastAsia="Verdana" w:hAnsi="Verdana" w:cs="Verdana"/>
          <w:color w:val="000000" w:themeColor="text1"/>
          <w:sz w:val="22"/>
          <w:szCs w:val="22"/>
          <w:lang w:val="en-US"/>
        </w:rPr>
      </w:pPr>
      <w:r w:rsidRPr="008D6AC4">
        <w:rPr>
          <w:rFonts w:ascii="Verdana" w:eastAsia="Verdana" w:hAnsi="Verdana" w:cs="Verdana"/>
          <w:color w:val="000000" w:themeColor="text1"/>
          <w:sz w:val="22"/>
          <w:szCs w:val="22"/>
        </w:rPr>
        <w:t>To consider the introduction of a clinic in Sevenoaks or Tonbridge &amp; Malling, however these are more affluent areas with better outcomes. </w:t>
      </w:r>
    </w:p>
    <w:p w14:paraId="43AF2A92" w14:textId="77777777" w:rsidR="4A0F6D8A" w:rsidRPr="008D6AC4" w:rsidRDefault="34A4A29E" w:rsidP="00F8351F">
      <w:pPr>
        <w:pStyle w:val="ListParagraph"/>
        <w:numPr>
          <w:ilvl w:val="0"/>
          <w:numId w:val="30"/>
        </w:numPr>
        <w:spacing w:before="0" w:after="0" w:line="259" w:lineRule="auto"/>
        <w:rPr>
          <w:rFonts w:ascii="Verdana" w:eastAsia="Verdana" w:hAnsi="Verdana" w:cs="Verdana"/>
          <w:color w:val="000000" w:themeColor="text1"/>
          <w:sz w:val="22"/>
          <w:szCs w:val="22"/>
          <w:lang w:val="en-US"/>
        </w:rPr>
      </w:pPr>
      <w:r w:rsidRPr="008D6AC4">
        <w:rPr>
          <w:rFonts w:ascii="Verdana" w:eastAsia="Verdana" w:hAnsi="Verdana" w:cs="Verdana"/>
          <w:color w:val="000000" w:themeColor="text1"/>
          <w:sz w:val="22"/>
          <w:szCs w:val="22"/>
        </w:rPr>
        <w:t>To understand and coordinate the outreach elements of the services, including which key groups are supported, and what is the impact on outcomes. </w:t>
      </w:r>
    </w:p>
    <w:p w14:paraId="3200F204" w14:textId="77777777" w:rsidR="00F01D3D" w:rsidRPr="008D6AC4" w:rsidRDefault="1CBC5912" w:rsidP="136F3BEB">
      <w:pPr>
        <w:pStyle w:val="Heading2"/>
        <w:numPr>
          <w:ilvl w:val="0"/>
          <w:numId w:val="0"/>
        </w:numPr>
        <w:rPr>
          <w:rFonts w:ascii="Verdana" w:eastAsiaTheme="minorEastAsia" w:hAnsi="Verdana"/>
          <w:sz w:val="24"/>
          <w:szCs w:val="24"/>
        </w:rPr>
      </w:pPr>
      <w:bookmarkStart w:id="50" w:name="_Toc803764491"/>
      <w:r w:rsidRPr="136F3BEB">
        <w:rPr>
          <w:rFonts w:ascii="Verdana" w:eastAsiaTheme="minorEastAsia" w:hAnsi="Verdana"/>
          <w:sz w:val="24"/>
          <w:szCs w:val="24"/>
        </w:rPr>
        <w:t xml:space="preserve">5.2 </w:t>
      </w:r>
      <w:r w:rsidR="7C23BA9F" w:rsidRPr="136F3BEB">
        <w:rPr>
          <w:rFonts w:ascii="Verdana" w:eastAsiaTheme="minorEastAsia" w:hAnsi="Verdana"/>
          <w:sz w:val="24"/>
          <w:szCs w:val="24"/>
        </w:rPr>
        <w:t>Psychosexual Therapy</w:t>
      </w:r>
      <w:bookmarkEnd w:id="50"/>
    </w:p>
    <w:p w14:paraId="69514829" w14:textId="77777777" w:rsidR="00F01D3D" w:rsidRPr="008D6AC4" w:rsidRDefault="00F01D3D" w:rsidP="00F01D3D">
      <w:pPr>
        <w:jc w:val="both"/>
        <w:rPr>
          <w:rFonts w:ascii="Verdana" w:hAnsi="Verdana"/>
          <w:sz w:val="22"/>
          <w:szCs w:val="22"/>
        </w:rPr>
      </w:pPr>
      <w:r w:rsidRPr="008D6AC4">
        <w:rPr>
          <w:rFonts w:ascii="Verdana" w:hAnsi="Verdana"/>
          <w:sz w:val="22"/>
          <w:szCs w:val="22"/>
        </w:rPr>
        <w:t>The psychosexual therapy service works with the specialist integrated sexual health service to provide streamlined psychosexual support to individuals over the age of 16 presenting to sexual health services with concerns impacting on their sexual relationships. Frequently referred conditions include erectile dysfunction, sexual body image dysmorphia, and sexual pain disorders such as vaginismus. The service is provided by KCHFT but is available for people across the whole of Kent.</w:t>
      </w:r>
    </w:p>
    <w:p w14:paraId="6E4A3C63" w14:textId="77777777" w:rsidR="00F01D3D" w:rsidRPr="008D6AC4" w:rsidRDefault="00F01D3D" w:rsidP="00F01D3D">
      <w:pPr>
        <w:jc w:val="both"/>
        <w:rPr>
          <w:rFonts w:ascii="Verdana" w:hAnsi="Verdana"/>
          <w:sz w:val="22"/>
          <w:szCs w:val="22"/>
        </w:rPr>
      </w:pPr>
      <w:r w:rsidRPr="008D6AC4">
        <w:rPr>
          <w:rFonts w:ascii="Verdana" w:hAnsi="Verdana"/>
          <w:sz w:val="22"/>
          <w:szCs w:val="22"/>
        </w:rPr>
        <w:t>The service is a tertiary service and therefore referrals should be received from a GP, sexual health clinic or other healthcare professionals. In exceptional circumstances the service may receive self-referrals, but these will be triaged by the service lead. If a patient presents and is not registered with a GP, they should be provided with advice on how to register. However, referrals have been received from other organisations and it is unclear if these are being accepted by the service.</w:t>
      </w:r>
    </w:p>
    <w:p w14:paraId="30FB8698" w14:textId="77777777" w:rsidR="00F01D3D" w:rsidRPr="008D6AC4" w:rsidRDefault="00F01D3D" w:rsidP="00F01D3D">
      <w:pPr>
        <w:jc w:val="both"/>
        <w:rPr>
          <w:rFonts w:ascii="Verdana" w:hAnsi="Verdana"/>
          <w:sz w:val="22"/>
          <w:szCs w:val="22"/>
        </w:rPr>
      </w:pPr>
      <w:r w:rsidRPr="008D6AC4">
        <w:rPr>
          <w:rFonts w:ascii="Verdana" w:hAnsi="Verdana"/>
          <w:sz w:val="22"/>
          <w:szCs w:val="22"/>
        </w:rPr>
        <w:t>The patient is then offered an initial appointment to assess the presenting problem and identify patients who are not suitable for psychosexual therapy.</w:t>
      </w:r>
    </w:p>
    <w:p w14:paraId="3C674CF6" w14:textId="77777777" w:rsidR="00F01D3D" w:rsidRPr="008D6AC4" w:rsidRDefault="00F01D3D" w:rsidP="00F01D3D">
      <w:pPr>
        <w:jc w:val="both"/>
        <w:rPr>
          <w:rFonts w:ascii="Verdana" w:hAnsi="Verdana"/>
          <w:sz w:val="22"/>
          <w:szCs w:val="22"/>
        </w:rPr>
      </w:pPr>
      <w:r w:rsidRPr="008D6AC4">
        <w:rPr>
          <w:rFonts w:ascii="Verdana" w:hAnsi="Verdana"/>
          <w:sz w:val="22"/>
          <w:szCs w:val="22"/>
        </w:rPr>
        <w:t xml:space="preserve">Psychosexual interventions should be brief, focused and provided for a maximum of six sessions lasting 45 minutes, with a review if further intervention or a referral to another service is required. If further sessions are required, an exception request to commissioners should be made. There have been 17 patients who have received more than six sessions. The service should not offer long-term therapy and therefore this may have an impact on waiting time for other users. </w:t>
      </w:r>
    </w:p>
    <w:p w14:paraId="620047BE" w14:textId="77777777" w:rsidR="00F01D3D" w:rsidRPr="008D6AC4" w:rsidRDefault="00F01D3D" w:rsidP="00F01D3D">
      <w:pPr>
        <w:jc w:val="both"/>
        <w:rPr>
          <w:rFonts w:ascii="Verdana" w:hAnsi="Verdana"/>
          <w:sz w:val="22"/>
          <w:szCs w:val="22"/>
        </w:rPr>
      </w:pPr>
      <w:r w:rsidRPr="008D6AC4">
        <w:rPr>
          <w:rFonts w:ascii="Verdana" w:hAnsi="Verdana"/>
          <w:sz w:val="22"/>
          <w:szCs w:val="22"/>
        </w:rPr>
        <w:t xml:space="preserve">Sessions are offered face-to-face or remotely over phone, or via video depending on patient preference, and operate from 8am to 7pm. Face-to-face sessions are offered at several sites across Kent. They are less popular than the </w:t>
      </w:r>
      <w:r w:rsidRPr="008D6AC4">
        <w:rPr>
          <w:rFonts w:ascii="Verdana" w:hAnsi="Verdana"/>
          <w:sz w:val="22"/>
          <w:szCs w:val="22"/>
        </w:rPr>
        <w:lastRenderedPageBreak/>
        <w:t>virtual sessions, with only 10 people in Q1 of 2023/24 having a face-to-face appointment compared to 559 virtual appointments.</w:t>
      </w:r>
    </w:p>
    <w:p w14:paraId="3FCD1DB7" w14:textId="77777777" w:rsidR="00F01D3D" w:rsidRPr="008D6AC4" w:rsidRDefault="236062CB" w:rsidP="00F01D3D">
      <w:pPr>
        <w:jc w:val="both"/>
        <w:rPr>
          <w:rFonts w:ascii="Verdana" w:hAnsi="Verdana"/>
          <w:sz w:val="22"/>
          <w:szCs w:val="22"/>
        </w:rPr>
      </w:pPr>
      <w:r w:rsidRPr="008D6AC4">
        <w:rPr>
          <w:rFonts w:ascii="Verdana" w:hAnsi="Verdana"/>
          <w:sz w:val="22"/>
          <w:szCs w:val="22"/>
        </w:rPr>
        <w:t xml:space="preserve">The Maidstone site involves a separately hired counselling room, as opposed to using existing sexual health clinic space. It is unclear if the new Thanet space is being used for other purposes when face-to-face appointments are not required. The Tunbridge Wells clinic room is also rented out to the perinatal bereavement counselling team (Thrive). Occasionally other ISH clinic sites are used to accommodate face-to-face sessions if a need arises. </w:t>
      </w:r>
      <w:r w:rsidR="0DD0A89A" w:rsidRPr="008D6AC4">
        <w:rPr>
          <w:rFonts w:ascii="Verdana" w:hAnsi="Verdana"/>
          <w:sz w:val="22"/>
          <w:szCs w:val="22"/>
        </w:rPr>
        <w:t>A review of estates costs for the service would be helpful.</w:t>
      </w:r>
    </w:p>
    <w:p w14:paraId="3AF9B937" w14:textId="77777777" w:rsidR="00F01D3D" w:rsidRPr="008D6AC4" w:rsidRDefault="00F01D3D" w:rsidP="00F01D3D">
      <w:pPr>
        <w:jc w:val="both"/>
        <w:rPr>
          <w:rFonts w:ascii="Verdana" w:hAnsi="Verdana"/>
          <w:sz w:val="22"/>
          <w:szCs w:val="22"/>
        </w:rPr>
      </w:pPr>
      <w:r w:rsidRPr="008D6AC4">
        <w:rPr>
          <w:rFonts w:ascii="Verdana" w:hAnsi="Verdana"/>
          <w:sz w:val="22"/>
          <w:szCs w:val="22"/>
        </w:rPr>
        <w:t xml:space="preserve">From June 2022 to June 2023, there were 2,897 therapy sessions offered. A small number of patients (12) were identified as unsuitable for the service after initial triage. </w:t>
      </w:r>
    </w:p>
    <w:p w14:paraId="1943549D" w14:textId="77777777" w:rsidR="0080581C" w:rsidRPr="008D6AC4" w:rsidRDefault="027B4C11" w:rsidP="00F01D3D">
      <w:pPr>
        <w:jc w:val="both"/>
        <w:rPr>
          <w:rFonts w:ascii="Verdana" w:hAnsi="Verdana"/>
          <w:sz w:val="22"/>
          <w:szCs w:val="22"/>
        </w:rPr>
      </w:pPr>
      <w:r w:rsidRPr="136F3BEB">
        <w:rPr>
          <w:rFonts w:ascii="Verdana" w:hAnsi="Verdana"/>
          <w:sz w:val="22"/>
          <w:szCs w:val="22"/>
        </w:rPr>
        <w:t xml:space="preserve">In 2022/23, of all patients using the service, there were 468 outcomes recorded with only 59.8% of those completing the full course of therapy </w:t>
      </w:r>
      <w:r w:rsidRPr="136F3BEB">
        <w:rPr>
          <w:rFonts w:ascii="Verdana" w:hAnsi="Verdana"/>
          <w:b/>
          <w:bCs/>
          <w:sz w:val="22"/>
          <w:szCs w:val="22"/>
        </w:rPr>
        <w:t xml:space="preserve">(Table </w:t>
      </w:r>
      <w:r w:rsidR="52B33F12" w:rsidRPr="136F3BEB">
        <w:rPr>
          <w:rFonts w:ascii="Verdana" w:hAnsi="Verdana"/>
          <w:b/>
          <w:bCs/>
          <w:sz w:val="22"/>
          <w:szCs w:val="22"/>
        </w:rPr>
        <w:t>4</w:t>
      </w:r>
      <w:r w:rsidRPr="136F3BEB">
        <w:rPr>
          <w:rFonts w:ascii="Verdana" w:hAnsi="Verdana"/>
          <w:b/>
          <w:bCs/>
          <w:sz w:val="22"/>
          <w:szCs w:val="22"/>
        </w:rPr>
        <w:t>)</w:t>
      </w:r>
      <w:r w:rsidRPr="136F3BEB">
        <w:rPr>
          <w:rFonts w:ascii="Verdana" w:hAnsi="Verdana"/>
          <w:sz w:val="22"/>
          <w:szCs w:val="22"/>
        </w:rPr>
        <w:t>. However, the proportion of clients who have an improvement in their presenting problem following completion of therapy was consistently 100.0%.  It is unclear how an improvement is measured, and it is not known why patients do not complete the full course of therapy making it difficult to assess the impact of the service on patients.</w:t>
      </w:r>
      <w:r w:rsidR="2A3219C1" w:rsidRPr="136F3BEB">
        <w:rPr>
          <w:rFonts w:ascii="Verdana" w:hAnsi="Verdana"/>
          <w:sz w:val="22"/>
          <w:szCs w:val="22"/>
        </w:rPr>
        <w:t xml:space="preserve"> The service requires highly trained therapists, making recruitment difficult</w:t>
      </w:r>
    </w:p>
    <w:p w14:paraId="4711D883" w14:textId="77777777" w:rsidR="00F01D3D" w:rsidRPr="008D6AC4" w:rsidRDefault="6B2824BD" w:rsidP="00F01D3D">
      <w:pPr>
        <w:jc w:val="both"/>
        <w:rPr>
          <w:rFonts w:ascii="Verdana" w:hAnsi="Verdana"/>
          <w:b/>
          <w:bCs/>
          <w:sz w:val="22"/>
          <w:szCs w:val="22"/>
        </w:rPr>
      </w:pPr>
      <w:r w:rsidRPr="136F3BEB">
        <w:rPr>
          <w:rFonts w:ascii="Verdana" w:hAnsi="Verdana"/>
          <w:b/>
          <w:bCs/>
          <w:sz w:val="22"/>
          <w:szCs w:val="22"/>
        </w:rPr>
        <w:t xml:space="preserve">Table </w:t>
      </w:r>
      <w:r w:rsidR="24FD19FC" w:rsidRPr="136F3BEB">
        <w:rPr>
          <w:rFonts w:ascii="Verdana" w:hAnsi="Verdana"/>
          <w:b/>
          <w:bCs/>
          <w:sz w:val="22"/>
          <w:szCs w:val="22"/>
        </w:rPr>
        <w:t>4</w:t>
      </w:r>
      <w:r w:rsidRPr="136F3BEB">
        <w:rPr>
          <w:rFonts w:ascii="Verdana" w:hAnsi="Verdana"/>
          <w:b/>
          <w:bCs/>
          <w:sz w:val="22"/>
          <w:szCs w:val="22"/>
        </w:rPr>
        <w:t>: Number (n) and proportion (%) of patients using the service, according to outcome for 2022/23.</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5211"/>
        <w:gridCol w:w="2977"/>
      </w:tblGrid>
      <w:tr w:rsidR="00A862A4" w:rsidRPr="008D6AC4" w14:paraId="38C60285" w14:textId="77777777" w:rsidTr="007443FF">
        <w:trPr>
          <w:trHeight w:val="300"/>
        </w:trPr>
        <w:tc>
          <w:tcPr>
            <w:tcW w:w="5211" w:type="dxa"/>
            <w:shd w:val="clear" w:color="auto" w:fill="DDF1F3"/>
            <w:vAlign w:val="center"/>
          </w:tcPr>
          <w:p w14:paraId="12ABEC64" w14:textId="77777777" w:rsidR="00A862A4" w:rsidRPr="008D6AC4" w:rsidRDefault="00A862A4" w:rsidP="007443FF">
            <w:pPr>
              <w:rPr>
                <w:rFonts w:ascii="Verdana" w:hAnsi="Verdana"/>
                <w:b/>
                <w:bCs/>
                <w:sz w:val="22"/>
                <w:szCs w:val="22"/>
              </w:rPr>
            </w:pPr>
            <w:r w:rsidRPr="008D6AC4">
              <w:rPr>
                <w:rFonts w:ascii="Verdana" w:hAnsi="Verdana"/>
                <w:b/>
                <w:bCs/>
                <w:sz w:val="22"/>
                <w:szCs w:val="22"/>
              </w:rPr>
              <w:t>Outcome</w:t>
            </w:r>
          </w:p>
        </w:tc>
        <w:tc>
          <w:tcPr>
            <w:tcW w:w="2977" w:type="dxa"/>
            <w:shd w:val="clear" w:color="auto" w:fill="DDF1F3"/>
            <w:vAlign w:val="center"/>
          </w:tcPr>
          <w:p w14:paraId="689860CA" w14:textId="77777777" w:rsidR="00A862A4" w:rsidRPr="008D6AC4" w:rsidRDefault="00A862A4" w:rsidP="007443FF">
            <w:pPr>
              <w:rPr>
                <w:rFonts w:ascii="Verdana" w:hAnsi="Verdana"/>
                <w:b/>
                <w:bCs/>
                <w:sz w:val="22"/>
                <w:szCs w:val="22"/>
              </w:rPr>
            </w:pPr>
            <w:r w:rsidRPr="008D6AC4">
              <w:rPr>
                <w:rFonts w:ascii="Verdana" w:hAnsi="Verdana"/>
                <w:b/>
                <w:bCs/>
                <w:sz w:val="22"/>
                <w:szCs w:val="22"/>
              </w:rPr>
              <w:t xml:space="preserve">Number of patients using the service </w:t>
            </w:r>
            <w:r w:rsidRPr="008D6AC4">
              <w:rPr>
                <w:rFonts w:ascii="Verdana" w:hAnsi="Verdana"/>
                <w:b/>
                <w:bCs/>
                <w:sz w:val="22"/>
                <w:szCs w:val="22"/>
              </w:rPr>
              <w:br/>
              <w:t>(%)</w:t>
            </w:r>
          </w:p>
        </w:tc>
      </w:tr>
      <w:tr w:rsidR="00A862A4" w:rsidRPr="008D6AC4" w14:paraId="3A8888A3" w14:textId="77777777" w:rsidTr="00354340">
        <w:trPr>
          <w:trHeight w:val="300"/>
        </w:trPr>
        <w:tc>
          <w:tcPr>
            <w:tcW w:w="5211" w:type="dxa"/>
            <w:vAlign w:val="center"/>
          </w:tcPr>
          <w:p w14:paraId="1F5B79B1" w14:textId="77777777" w:rsidR="00A862A4" w:rsidRPr="008D6AC4" w:rsidRDefault="00A862A4" w:rsidP="00354340">
            <w:pPr>
              <w:rPr>
                <w:rFonts w:ascii="Verdana" w:hAnsi="Verdana"/>
                <w:sz w:val="22"/>
                <w:szCs w:val="22"/>
              </w:rPr>
            </w:pPr>
            <w:r w:rsidRPr="008D6AC4">
              <w:rPr>
                <w:rFonts w:ascii="Verdana" w:hAnsi="Verdana"/>
                <w:sz w:val="22"/>
                <w:szCs w:val="22"/>
              </w:rPr>
              <w:t>Completed full course of therapy</w:t>
            </w:r>
          </w:p>
        </w:tc>
        <w:tc>
          <w:tcPr>
            <w:tcW w:w="2977" w:type="dxa"/>
          </w:tcPr>
          <w:p w14:paraId="135838D2" w14:textId="77777777" w:rsidR="00A862A4" w:rsidRPr="008D6AC4" w:rsidRDefault="00A862A4" w:rsidP="00F01D3D">
            <w:pPr>
              <w:jc w:val="both"/>
              <w:rPr>
                <w:rFonts w:ascii="Verdana" w:hAnsi="Verdana"/>
                <w:sz w:val="22"/>
                <w:szCs w:val="22"/>
              </w:rPr>
            </w:pPr>
            <w:r w:rsidRPr="008D6AC4">
              <w:rPr>
                <w:rFonts w:ascii="Verdana" w:hAnsi="Verdana"/>
                <w:sz w:val="22"/>
                <w:szCs w:val="22"/>
              </w:rPr>
              <w:t xml:space="preserve">280 </w:t>
            </w:r>
            <w:r w:rsidRPr="008D6AC4">
              <w:rPr>
                <w:rFonts w:ascii="Verdana" w:hAnsi="Verdana"/>
                <w:sz w:val="22"/>
                <w:szCs w:val="22"/>
              </w:rPr>
              <w:br/>
              <w:t>(59.8%)</w:t>
            </w:r>
          </w:p>
        </w:tc>
      </w:tr>
      <w:tr w:rsidR="00A862A4" w:rsidRPr="008D6AC4" w14:paraId="42B54B9C" w14:textId="77777777" w:rsidTr="00354340">
        <w:trPr>
          <w:trHeight w:val="300"/>
        </w:trPr>
        <w:tc>
          <w:tcPr>
            <w:tcW w:w="5211" w:type="dxa"/>
            <w:vAlign w:val="center"/>
          </w:tcPr>
          <w:p w14:paraId="22EE9F79" w14:textId="77777777" w:rsidR="00A862A4" w:rsidRPr="008D6AC4" w:rsidRDefault="00A862A4" w:rsidP="00354340">
            <w:pPr>
              <w:rPr>
                <w:rFonts w:ascii="Verdana" w:hAnsi="Verdana"/>
                <w:sz w:val="22"/>
                <w:szCs w:val="22"/>
              </w:rPr>
            </w:pPr>
            <w:r w:rsidRPr="008D6AC4">
              <w:rPr>
                <w:rFonts w:ascii="Verdana" w:hAnsi="Verdana"/>
                <w:sz w:val="22"/>
                <w:szCs w:val="22"/>
              </w:rPr>
              <w:t>Disengaged</w:t>
            </w:r>
          </w:p>
        </w:tc>
        <w:tc>
          <w:tcPr>
            <w:tcW w:w="2977" w:type="dxa"/>
          </w:tcPr>
          <w:p w14:paraId="376898A9" w14:textId="77777777" w:rsidR="00A862A4" w:rsidRPr="008D6AC4" w:rsidRDefault="00A862A4" w:rsidP="00F01D3D">
            <w:pPr>
              <w:jc w:val="both"/>
              <w:rPr>
                <w:rFonts w:ascii="Verdana" w:hAnsi="Verdana"/>
                <w:sz w:val="22"/>
                <w:szCs w:val="22"/>
              </w:rPr>
            </w:pPr>
            <w:r w:rsidRPr="008D6AC4">
              <w:rPr>
                <w:rFonts w:ascii="Verdana" w:hAnsi="Verdana"/>
                <w:sz w:val="22"/>
                <w:szCs w:val="22"/>
              </w:rPr>
              <w:t>69</w:t>
            </w:r>
            <w:r w:rsidRPr="008D6AC4">
              <w:rPr>
                <w:rFonts w:ascii="Verdana" w:hAnsi="Verdana"/>
                <w:sz w:val="22"/>
                <w:szCs w:val="22"/>
              </w:rPr>
              <w:br/>
              <w:t>(14.7%)</w:t>
            </w:r>
          </w:p>
        </w:tc>
      </w:tr>
      <w:tr w:rsidR="00A862A4" w:rsidRPr="008D6AC4" w14:paraId="334FF06D" w14:textId="77777777" w:rsidTr="00354340">
        <w:trPr>
          <w:trHeight w:val="300"/>
        </w:trPr>
        <w:tc>
          <w:tcPr>
            <w:tcW w:w="5211" w:type="dxa"/>
            <w:vAlign w:val="center"/>
          </w:tcPr>
          <w:p w14:paraId="40226CB3" w14:textId="77777777" w:rsidR="00A862A4" w:rsidRPr="008D6AC4" w:rsidRDefault="00A862A4" w:rsidP="00354340">
            <w:pPr>
              <w:rPr>
                <w:rFonts w:ascii="Verdana" w:hAnsi="Verdana"/>
                <w:sz w:val="22"/>
                <w:szCs w:val="22"/>
              </w:rPr>
            </w:pPr>
            <w:r w:rsidRPr="008D6AC4">
              <w:rPr>
                <w:rFonts w:ascii="Verdana" w:hAnsi="Verdana"/>
                <w:sz w:val="22"/>
                <w:szCs w:val="22"/>
              </w:rPr>
              <w:t>Never engaged</w:t>
            </w:r>
          </w:p>
        </w:tc>
        <w:tc>
          <w:tcPr>
            <w:tcW w:w="2977" w:type="dxa"/>
          </w:tcPr>
          <w:p w14:paraId="03B0DE61" w14:textId="77777777" w:rsidR="00A862A4" w:rsidRPr="008D6AC4" w:rsidRDefault="00A862A4" w:rsidP="00F01D3D">
            <w:pPr>
              <w:jc w:val="both"/>
              <w:rPr>
                <w:rFonts w:ascii="Verdana" w:hAnsi="Verdana"/>
                <w:sz w:val="22"/>
                <w:szCs w:val="22"/>
              </w:rPr>
            </w:pPr>
            <w:r w:rsidRPr="008D6AC4">
              <w:rPr>
                <w:rFonts w:ascii="Verdana" w:hAnsi="Verdana"/>
                <w:sz w:val="22"/>
                <w:szCs w:val="22"/>
              </w:rPr>
              <w:t>74</w:t>
            </w:r>
            <w:r w:rsidRPr="008D6AC4">
              <w:rPr>
                <w:rFonts w:ascii="Verdana" w:hAnsi="Verdana"/>
                <w:sz w:val="22"/>
                <w:szCs w:val="22"/>
              </w:rPr>
              <w:br/>
              <w:t>(15.8%)</w:t>
            </w:r>
          </w:p>
        </w:tc>
      </w:tr>
      <w:tr w:rsidR="00A862A4" w:rsidRPr="008D6AC4" w14:paraId="0C3DF649" w14:textId="77777777" w:rsidTr="00354340">
        <w:trPr>
          <w:trHeight w:val="300"/>
        </w:trPr>
        <w:tc>
          <w:tcPr>
            <w:tcW w:w="5211" w:type="dxa"/>
            <w:vAlign w:val="center"/>
          </w:tcPr>
          <w:p w14:paraId="1CC7607D" w14:textId="77777777" w:rsidR="00A862A4" w:rsidRPr="008D6AC4" w:rsidRDefault="00A862A4" w:rsidP="00354340">
            <w:pPr>
              <w:rPr>
                <w:rFonts w:ascii="Verdana" w:hAnsi="Verdana"/>
                <w:sz w:val="22"/>
                <w:szCs w:val="22"/>
              </w:rPr>
            </w:pPr>
            <w:r w:rsidRPr="008D6AC4">
              <w:rPr>
                <w:rFonts w:ascii="Verdana" w:hAnsi="Verdana"/>
                <w:sz w:val="22"/>
                <w:szCs w:val="22"/>
              </w:rPr>
              <w:t>No longer needed the service</w:t>
            </w:r>
          </w:p>
        </w:tc>
        <w:tc>
          <w:tcPr>
            <w:tcW w:w="2977" w:type="dxa"/>
          </w:tcPr>
          <w:p w14:paraId="27CD5B8D" w14:textId="77777777" w:rsidR="00A862A4" w:rsidRPr="008D6AC4" w:rsidRDefault="00A862A4" w:rsidP="00F01D3D">
            <w:pPr>
              <w:jc w:val="both"/>
              <w:rPr>
                <w:rFonts w:ascii="Verdana" w:hAnsi="Verdana"/>
                <w:sz w:val="22"/>
                <w:szCs w:val="22"/>
              </w:rPr>
            </w:pPr>
            <w:r w:rsidRPr="008D6AC4">
              <w:rPr>
                <w:rFonts w:ascii="Verdana" w:hAnsi="Verdana"/>
                <w:sz w:val="22"/>
                <w:szCs w:val="22"/>
              </w:rPr>
              <w:t>45</w:t>
            </w:r>
            <w:r w:rsidRPr="008D6AC4">
              <w:rPr>
                <w:rFonts w:ascii="Verdana" w:hAnsi="Verdana"/>
                <w:sz w:val="22"/>
                <w:szCs w:val="22"/>
              </w:rPr>
              <w:br/>
              <w:t>(9.6%)</w:t>
            </w:r>
          </w:p>
        </w:tc>
      </w:tr>
    </w:tbl>
    <w:p w14:paraId="401DFBA0" w14:textId="77777777" w:rsidR="00F01D3D" w:rsidRPr="008D6AC4" w:rsidRDefault="00F01D3D" w:rsidP="00F01D3D">
      <w:pPr>
        <w:jc w:val="both"/>
        <w:rPr>
          <w:rFonts w:ascii="Verdana" w:hAnsi="Verdana"/>
          <w:sz w:val="22"/>
          <w:szCs w:val="22"/>
        </w:rPr>
      </w:pPr>
    </w:p>
    <w:p w14:paraId="594B104D" w14:textId="77777777" w:rsidR="00F01D3D" w:rsidRPr="00864DDB" w:rsidRDefault="3288BA31" w:rsidP="136F3BEB">
      <w:pPr>
        <w:pStyle w:val="Heading2"/>
        <w:numPr>
          <w:ilvl w:val="0"/>
          <w:numId w:val="0"/>
        </w:numPr>
        <w:rPr>
          <w:rFonts w:ascii="Verdana" w:hAnsi="Verdana"/>
          <w:i/>
          <w:iCs/>
          <w:sz w:val="22"/>
          <w:szCs w:val="22"/>
        </w:rPr>
      </w:pPr>
      <w:bookmarkStart w:id="51" w:name="_Toc820484448"/>
      <w:r w:rsidRPr="136F3BEB">
        <w:rPr>
          <w:rFonts w:ascii="Verdana" w:hAnsi="Verdana"/>
          <w:sz w:val="22"/>
          <w:szCs w:val="22"/>
        </w:rPr>
        <w:t xml:space="preserve">5.2.1 </w:t>
      </w:r>
      <w:r w:rsidR="6A297B53" w:rsidRPr="136F3BEB">
        <w:rPr>
          <w:rFonts w:ascii="Verdana" w:hAnsi="Verdana" w:cstheme="minorBidi"/>
          <w:sz w:val="22"/>
          <w:szCs w:val="22"/>
        </w:rPr>
        <w:t>Strengths of the Psychosexual Therapy Service</w:t>
      </w:r>
      <w:bookmarkEnd w:id="51"/>
    </w:p>
    <w:p w14:paraId="2FBD3862" w14:textId="77777777" w:rsidR="00F01D3D" w:rsidRPr="008D6AC4" w:rsidRDefault="00F01D3D" w:rsidP="00F8351F">
      <w:pPr>
        <w:pStyle w:val="ListParagraph"/>
        <w:numPr>
          <w:ilvl w:val="0"/>
          <w:numId w:val="8"/>
        </w:numPr>
        <w:spacing w:before="0" w:after="160" w:line="259" w:lineRule="auto"/>
        <w:jc w:val="both"/>
        <w:rPr>
          <w:rFonts w:ascii="Verdana" w:hAnsi="Verdana"/>
          <w:b/>
          <w:bCs/>
          <w:i/>
          <w:iCs/>
          <w:sz w:val="22"/>
          <w:szCs w:val="22"/>
        </w:rPr>
      </w:pPr>
      <w:r w:rsidRPr="008D6AC4">
        <w:rPr>
          <w:rFonts w:ascii="Verdana" w:hAnsi="Verdana"/>
          <w:sz w:val="22"/>
          <w:szCs w:val="22"/>
        </w:rPr>
        <w:t>Tertiary referral service and the majority of referrals triaged are found to be suitable for the service</w:t>
      </w:r>
    </w:p>
    <w:p w14:paraId="0928DC59" w14:textId="77777777" w:rsidR="00F01D3D" w:rsidRPr="008D6AC4" w:rsidRDefault="00F01D3D" w:rsidP="00F8351F">
      <w:pPr>
        <w:pStyle w:val="ListParagraph"/>
        <w:numPr>
          <w:ilvl w:val="0"/>
          <w:numId w:val="8"/>
        </w:numPr>
        <w:spacing w:before="0" w:after="160" w:line="259" w:lineRule="auto"/>
        <w:jc w:val="both"/>
        <w:rPr>
          <w:rFonts w:ascii="Verdana" w:hAnsi="Verdana"/>
          <w:sz w:val="22"/>
          <w:szCs w:val="22"/>
        </w:rPr>
      </w:pPr>
      <w:r w:rsidRPr="008D6AC4">
        <w:rPr>
          <w:rFonts w:ascii="Verdana" w:hAnsi="Verdana"/>
          <w:sz w:val="22"/>
          <w:szCs w:val="22"/>
        </w:rPr>
        <w:t xml:space="preserve">An improvement in the patients' presenting problem is seen in nearly all those completing the full course of therapy </w:t>
      </w:r>
    </w:p>
    <w:p w14:paraId="7F9A0683" w14:textId="77777777" w:rsidR="00F01D3D" w:rsidRPr="0089791B" w:rsidRDefault="70DA3374" w:rsidP="136F3BEB">
      <w:pPr>
        <w:pStyle w:val="Heading2"/>
        <w:numPr>
          <w:ilvl w:val="0"/>
          <w:numId w:val="0"/>
        </w:numPr>
        <w:rPr>
          <w:rFonts w:ascii="Verdana" w:hAnsi="Verdana" w:cstheme="minorBidi"/>
          <w:sz w:val="22"/>
          <w:szCs w:val="22"/>
        </w:rPr>
      </w:pPr>
      <w:bookmarkStart w:id="52" w:name="_Toc472213927"/>
      <w:r w:rsidRPr="136F3BEB">
        <w:rPr>
          <w:rFonts w:ascii="Verdana" w:hAnsi="Verdana"/>
          <w:sz w:val="22"/>
          <w:szCs w:val="22"/>
        </w:rPr>
        <w:lastRenderedPageBreak/>
        <w:t xml:space="preserve">5.2.2 </w:t>
      </w:r>
      <w:r w:rsidR="7C23BA9F" w:rsidRPr="136F3BEB">
        <w:rPr>
          <w:rFonts w:ascii="Verdana" w:hAnsi="Verdana" w:cstheme="minorBidi"/>
          <w:sz w:val="22"/>
          <w:szCs w:val="22"/>
        </w:rPr>
        <w:t>Possible Transformation Recommendations</w:t>
      </w:r>
      <w:bookmarkEnd w:id="52"/>
    </w:p>
    <w:p w14:paraId="52F8DB08" w14:textId="77777777" w:rsidR="43FFDB17" w:rsidRPr="008D6AC4" w:rsidRDefault="43FFDB17" w:rsidP="00F8351F">
      <w:pPr>
        <w:pStyle w:val="ListParagraph"/>
        <w:numPr>
          <w:ilvl w:val="0"/>
          <w:numId w:val="9"/>
        </w:numPr>
        <w:spacing w:before="0" w:after="160" w:line="259" w:lineRule="auto"/>
        <w:jc w:val="both"/>
        <w:rPr>
          <w:rFonts w:ascii="Verdana" w:eastAsia="Verdana" w:hAnsi="Verdana" w:cs="Verdana"/>
          <w:color w:val="000000" w:themeColor="text1"/>
          <w:sz w:val="22"/>
          <w:szCs w:val="22"/>
        </w:rPr>
      </w:pPr>
      <w:r w:rsidRPr="008D6AC4">
        <w:rPr>
          <w:rFonts w:ascii="Verdana" w:eastAsia="Verdana" w:hAnsi="Verdana" w:cs="Verdana"/>
          <w:color w:val="000000" w:themeColor="text1"/>
          <w:sz w:val="22"/>
          <w:szCs w:val="22"/>
        </w:rPr>
        <w:t>Looking at whether to move online rather than continue investing in property for this.  </w:t>
      </w:r>
    </w:p>
    <w:p w14:paraId="2FF79D18" w14:textId="77777777" w:rsidR="43FFDB17" w:rsidRPr="008D6AC4" w:rsidRDefault="43FFDB17" w:rsidP="00F8351F">
      <w:pPr>
        <w:pStyle w:val="ListParagraph"/>
        <w:numPr>
          <w:ilvl w:val="0"/>
          <w:numId w:val="9"/>
        </w:numPr>
        <w:spacing w:before="0" w:after="0" w:line="240" w:lineRule="auto"/>
        <w:jc w:val="both"/>
        <w:rPr>
          <w:rFonts w:ascii="Verdana" w:eastAsia="Verdana" w:hAnsi="Verdana" w:cs="Verdana"/>
          <w:color w:val="000000" w:themeColor="text1"/>
          <w:sz w:val="22"/>
          <w:szCs w:val="22"/>
        </w:rPr>
      </w:pPr>
      <w:r w:rsidRPr="008D6AC4">
        <w:rPr>
          <w:rFonts w:ascii="Verdana" w:eastAsia="Verdana" w:hAnsi="Verdana" w:cs="Verdana"/>
          <w:color w:val="000000" w:themeColor="text1"/>
          <w:sz w:val="22"/>
          <w:szCs w:val="22"/>
        </w:rPr>
        <w:t>To understand the psychological sexual health needs of the Kent population who may require the psychosexual service, for example the influence of adverse childhood experiences on the sexual health of adults </w:t>
      </w:r>
    </w:p>
    <w:p w14:paraId="49527DBB" w14:textId="77777777" w:rsidR="43FFDB17" w:rsidRPr="008D6AC4" w:rsidRDefault="43FFDB17" w:rsidP="00F8351F">
      <w:pPr>
        <w:pStyle w:val="ListParagraph"/>
        <w:numPr>
          <w:ilvl w:val="0"/>
          <w:numId w:val="9"/>
        </w:numPr>
        <w:spacing w:before="0" w:after="0" w:line="240" w:lineRule="auto"/>
        <w:jc w:val="both"/>
        <w:rPr>
          <w:rFonts w:ascii="Verdana" w:eastAsia="Verdana" w:hAnsi="Verdana" w:cs="Verdana"/>
          <w:color w:val="000000" w:themeColor="text1"/>
          <w:sz w:val="22"/>
          <w:szCs w:val="22"/>
          <w:lang w:val="en-US"/>
        </w:rPr>
      </w:pPr>
      <w:r w:rsidRPr="008D6AC4">
        <w:rPr>
          <w:rFonts w:ascii="Verdana" w:eastAsia="Verdana" w:hAnsi="Verdana" w:cs="Verdana"/>
          <w:color w:val="000000" w:themeColor="text1"/>
          <w:sz w:val="22"/>
          <w:szCs w:val="22"/>
        </w:rPr>
        <w:t>To collect patient insights to understand why a large number of people do not complete the full course of therapy or do not engage following initial referral </w:t>
      </w:r>
    </w:p>
    <w:p w14:paraId="7CAE4ADE" w14:textId="77777777" w:rsidR="009F2C10" w:rsidRPr="008D6AC4" w:rsidRDefault="43FFDB17" w:rsidP="00F8351F">
      <w:pPr>
        <w:pStyle w:val="ListParagraph"/>
        <w:numPr>
          <w:ilvl w:val="0"/>
          <w:numId w:val="9"/>
        </w:numPr>
        <w:spacing w:before="0" w:after="0" w:line="240" w:lineRule="auto"/>
        <w:rPr>
          <w:rFonts w:ascii="Verdana" w:eastAsia="Verdana" w:hAnsi="Verdana" w:cs="Verdana"/>
          <w:color w:val="000000" w:themeColor="text1"/>
          <w:sz w:val="22"/>
          <w:szCs w:val="22"/>
        </w:rPr>
      </w:pPr>
      <w:r w:rsidRPr="008D6AC4">
        <w:rPr>
          <w:rFonts w:ascii="Verdana" w:eastAsia="Verdana" w:hAnsi="Verdana" w:cs="Verdana"/>
          <w:color w:val="000000" w:themeColor="text1"/>
          <w:sz w:val="22"/>
          <w:szCs w:val="22"/>
        </w:rPr>
        <w:t>To collect patient insights and staff insights to understand the impact of the service on psychosexual outcomes to ensure quality service delivery and equity across Kent </w:t>
      </w:r>
    </w:p>
    <w:p w14:paraId="457B21FB" w14:textId="77777777" w:rsidR="0011787F" w:rsidRPr="008D6AC4" w:rsidRDefault="0AA7DDD3" w:rsidP="136F3BEB">
      <w:pPr>
        <w:pStyle w:val="Heading2"/>
        <w:numPr>
          <w:ilvl w:val="0"/>
          <w:numId w:val="0"/>
        </w:numPr>
        <w:rPr>
          <w:rFonts w:ascii="Verdana" w:eastAsiaTheme="minorEastAsia" w:hAnsi="Verdana" w:cstheme="minorBidi"/>
          <w:sz w:val="24"/>
          <w:szCs w:val="24"/>
        </w:rPr>
      </w:pPr>
      <w:bookmarkStart w:id="53" w:name="_Toc598764879"/>
      <w:r w:rsidRPr="136F3BEB">
        <w:rPr>
          <w:rFonts w:ascii="Verdana" w:eastAsiaTheme="minorEastAsia" w:hAnsi="Verdana" w:cstheme="minorBidi"/>
          <w:sz w:val="24"/>
          <w:szCs w:val="24"/>
        </w:rPr>
        <w:t xml:space="preserve">5.3 </w:t>
      </w:r>
      <w:r w:rsidR="2445C4E4" w:rsidRPr="136F3BEB">
        <w:rPr>
          <w:rFonts w:ascii="Verdana" w:eastAsiaTheme="minorEastAsia" w:hAnsi="Verdana" w:cstheme="minorBidi"/>
          <w:sz w:val="24"/>
          <w:szCs w:val="24"/>
        </w:rPr>
        <w:t>HIV Services</w:t>
      </w:r>
      <w:bookmarkEnd w:id="53"/>
    </w:p>
    <w:p w14:paraId="1FD3736D" w14:textId="77777777" w:rsidR="0011787F" w:rsidRPr="008D6AC4" w:rsidRDefault="0011787F" w:rsidP="0011787F">
      <w:pPr>
        <w:jc w:val="both"/>
        <w:rPr>
          <w:rFonts w:ascii="Verdana" w:hAnsi="Verdana"/>
          <w:sz w:val="22"/>
          <w:szCs w:val="22"/>
        </w:rPr>
      </w:pPr>
      <w:r w:rsidRPr="008D6AC4">
        <w:rPr>
          <w:rFonts w:ascii="Verdana" w:hAnsi="Verdana"/>
          <w:sz w:val="22"/>
          <w:szCs w:val="22"/>
        </w:rPr>
        <w:t xml:space="preserve">The specialised HIV treatment and care service is offered as part of the integrated sexual health services provided by KCHFT and MTW. The service is funded by NHS England (NHSE) and KCC commission the service on their behalf to integrate with the ISH. This offers several benefits including a more holistic care approach, streamlined referrals, improved data sharing, cost efficiency and to enhance prevention of HIV within the sexual health service. </w:t>
      </w:r>
    </w:p>
    <w:p w14:paraId="0DFFDCE4" w14:textId="77777777" w:rsidR="0011787F" w:rsidRPr="008D6AC4" w:rsidRDefault="0011787F" w:rsidP="0011787F">
      <w:pPr>
        <w:jc w:val="both"/>
        <w:rPr>
          <w:rFonts w:ascii="Verdana" w:hAnsi="Verdana"/>
          <w:sz w:val="22"/>
          <w:szCs w:val="22"/>
        </w:rPr>
      </w:pPr>
      <w:r w:rsidRPr="008D6AC4">
        <w:rPr>
          <w:rFonts w:ascii="Verdana" w:hAnsi="Verdana"/>
          <w:sz w:val="22"/>
          <w:szCs w:val="22"/>
        </w:rPr>
        <w:t>The commissioning of HIV services is the responsibility of NHSE and therefore they have their own service specification outcome measures which differ from those on which the ISH service is performance managed. The commissioning responsibility will be transferred from NHSE to the ICB in 2024</w:t>
      </w:r>
      <w:r w:rsidR="00E22D72">
        <w:rPr>
          <w:rFonts w:ascii="Verdana" w:hAnsi="Verdana"/>
          <w:sz w:val="22"/>
          <w:szCs w:val="22"/>
        </w:rPr>
        <w:t>/2025</w:t>
      </w:r>
      <w:r w:rsidRPr="008D6AC4">
        <w:rPr>
          <w:rFonts w:ascii="Verdana" w:hAnsi="Verdana"/>
          <w:sz w:val="22"/>
          <w:szCs w:val="22"/>
        </w:rPr>
        <w:t>.</w:t>
      </w:r>
    </w:p>
    <w:p w14:paraId="2BC9C476" w14:textId="77777777" w:rsidR="0011787F" w:rsidRPr="008D6AC4" w:rsidRDefault="0011787F" w:rsidP="0011787F">
      <w:pPr>
        <w:jc w:val="both"/>
        <w:rPr>
          <w:rFonts w:ascii="Verdana" w:hAnsi="Verdana"/>
          <w:sz w:val="22"/>
          <w:szCs w:val="22"/>
        </w:rPr>
      </w:pPr>
      <w:r w:rsidRPr="008D6AC4">
        <w:rPr>
          <w:rFonts w:ascii="Verdana" w:hAnsi="Verdana"/>
          <w:sz w:val="22"/>
          <w:szCs w:val="22"/>
        </w:rPr>
        <w:t>HIV treatment is a level 3 service, with service delivery throughout Kent and on multiple days of the week, in Dartford, Gravesham, Maidstone, Tunbridge Wells, Ashford, Margate, Canterbury and Folkestone. There are no clinics in the districts of Swale, Dover, Sevenoaks or Tonbridge &amp; Malling.</w:t>
      </w:r>
    </w:p>
    <w:p w14:paraId="7682AE18" w14:textId="77777777" w:rsidR="0011787F" w:rsidRPr="008D6AC4" w:rsidRDefault="6B0FBA72" w:rsidP="0011787F">
      <w:pPr>
        <w:jc w:val="both"/>
        <w:rPr>
          <w:rFonts w:ascii="Verdana" w:hAnsi="Verdana"/>
          <w:sz w:val="22"/>
          <w:szCs w:val="22"/>
        </w:rPr>
      </w:pPr>
      <w:r w:rsidRPr="008D6AC4">
        <w:rPr>
          <w:rFonts w:ascii="Verdana" w:hAnsi="Verdana"/>
          <w:sz w:val="22"/>
          <w:szCs w:val="22"/>
        </w:rPr>
        <w:t xml:space="preserve">The service supports people newly diagnosed with HIV, including pregnant women testing positive in antenatal screening, along with those living with HIV and requiring complex support. </w:t>
      </w:r>
    </w:p>
    <w:p w14:paraId="0E5DB6A6" w14:textId="77777777" w:rsidR="0011787F" w:rsidRPr="008D6AC4" w:rsidRDefault="22065E35" w:rsidP="0011787F">
      <w:pPr>
        <w:jc w:val="both"/>
        <w:rPr>
          <w:rFonts w:ascii="Verdana" w:hAnsi="Verdana"/>
          <w:sz w:val="22"/>
          <w:szCs w:val="22"/>
        </w:rPr>
      </w:pPr>
      <w:r w:rsidRPr="136F3BEB">
        <w:rPr>
          <w:rFonts w:ascii="Verdana" w:hAnsi="Verdana"/>
          <w:sz w:val="22"/>
          <w:szCs w:val="22"/>
        </w:rPr>
        <w:t xml:space="preserve">There are around 1000 patients using the service each yeah, and this number has been steadily increasing year-to-year </w:t>
      </w:r>
      <w:r w:rsidRPr="136F3BEB">
        <w:rPr>
          <w:rFonts w:ascii="Verdana" w:hAnsi="Verdana"/>
          <w:b/>
          <w:bCs/>
          <w:sz w:val="22"/>
          <w:szCs w:val="22"/>
        </w:rPr>
        <w:t xml:space="preserve">(Table </w:t>
      </w:r>
      <w:r w:rsidR="01ED9E81" w:rsidRPr="136F3BEB">
        <w:rPr>
          <w:rFonts w:ascii="Verdana" w:hAnsi="Verdana"/>
          <w:b/>
          <w:bCs/>
          <w:sz w:val="22"/>
          <w:szCs w:val="22"/>
        </w:rPr>
        <w:t>5</w:t>
      </w:r>
      <w:r w:rsidRPr="136F3BEB">
        <w:rPr>
          <w:rFonts w:ascii="Verdana" w:hAnsi="Verdana"/>
          <w:b/>
          <w:bCs/>
          <w:sz w:val="22"/>
          <w:szCs w:val="22"/>
        </w:rPr>
        <w:t>)</w:t>
      </w:r>
      <w:r w:rsidRPr="136F3BEB">
        <w:rPr>
          <w:rFonts w:ascii="Verdana" w:hAnsi="Verdana"/>
          <w:sz w:val="22"/>
          <w:szCs w:val="22"/>
        </w:rPr>
        <w:t xml:space="preserve">. Attendance numbers, along with the number and proportion of DNAs have also steadily increased </w:t>
      </w:r>
      <w:r w:rsidRPr="136F3BEB">
        <w:rPr>
          <w:rFonts w:ascii="Verdana" w:hAnsi="Verdana"/>
          <w:b/>
          <w:bCs/>
          <w:sz w:val="22"/>
          <w:szCs w:val="22"/>
        </w:rPr>
        <w:t xml:space="preserve">(Table </w:t>
      </w:r>
      <w:r w:rsidR="457864B6" w:rsidRPr="136F3BEB">
        <w:rPr>
          <w:rFonts w:ascii="Verdana" w:hAnsi="Verdana"/>
          <w:b/>
          <w:bCs/>
          <w:sz w:val="22"/>
          <w:szCs w:val="22"/>
        </w:rPr>
        <w:t>6</w:t>
      </w:r>
      <w:r w:rsidRPr="136F3BEB">
        <w:rPr>
          <w:rFonts w:ascii="Verdana" w:hAnsi="Verdana"/>
          <w:b/>
          <w:bCs/>
          <w:sz w:val="22"/>
          <w:szCs w:val="22"/>
        </w:rPr>
        <w:t>)</w:t>
      </w:r>
      <w:r w:rsidRPr="136F3BEB">
        <w:rPr>
          <w:rFonts w:ascii="Verdana" w:hAnsi="Verdana"/>
          <w:sz w:val="22"/>
          <w:szCs w:val="22"/>
        </w:rPr>
        <w:t>. DNA rates for HIV were similar to those for non-HIV care.</w:t>
      </w:r>
      <w:r w:rsidR="6B0FBA72">
        <w:br/>
      </w:r>
    </w:p>
    <w:p w14:paraId="3C34AF62" w14:textId="77777777" w:rsidR="0011787F" w:rsidRPr="008D6AC4" w:rsidRDefault="22065E35" w:rsidP="0011787F">
      <w:pPr>
        <w:rPr>
          <w:rFonts w:ascii="Verdana" w:hAnsi="Verdana"/>
          <w:sz w:val="22"/>
          <w:szCs w:val="22"/>
        </w:rPr>
      </w:pPr>
      <w:r w:rsidRPr="136F3BEB">
        <w:rPr>
          <w:rFonts w:ascii="Verdana" w:hAnsi="Verdana"/>
          <w:b/>
          <w:bCs/>
          <w:sz w:val="22"/>
          <w:szCs w:val="22"/>
        </w:rPr>
        <w:t xml:space="preserve">Table </w:t>
      </w:r>
      <w:r w:rsidR="7D7B3C05" w:rsidRPr="136F3BEB">
        <w:rPr>
          <w:rFonts w:ascii="Verdana" w:hAnsi="Verdana"/>
          <w:b/>
          <w:bCs/>
          <w:sz w:val="22"/>
          <w:szCs w:val="22"/>
        </w:rPr>
        <w:t>5</w:t>
      </w:r>
      <w:r w:rsidRPr="136F3BEB">
        <w:rPr>
          <w:rFonts w:ascii="Verdana" w:hAnsi="Verdana"/>
          <w:b/>
          <w:bCs/>
          <w:sz w:val="22"/>
          <w:szCs w:val="22"/>
        </w:rPr>
        <w:t>: Number of patients using the HIV service by provider, from 2019 to 2023</w:t>
      </w:r>
      <w:r w:rsidRPr="136F3BEB">
        <w:rPr>
          <w:rFonts w:ascii="Verdana" w:hAnsi="Verdana"/>
          <w:sz w:val="22"/>
          <w:szCs w:val="22"/>
        </w:rPr>
        <w:t xml:space="preserve"> </w:t>
      </w:r>
    </w:p>
    <w:tbl>
      <w:tblPr>
        <w:tblStyle w:val="TableGrid"/>
        <w:tblW w:w="0" w:type="auto"/>
        <w:tblLayout w:type="fixed"/>
        <w:tblLook w:val="06A0" w:firstRow="1" w:lastRow="0" w:firstColumn="1" w:lastColumn="0" w:noHBand="1" w:noVBand="1"/>
      </w:tblPr>
      <w:tblGrid>
        <w:gridCol w:w="2376"/>
        <w:gridCol w:w="1560"/>
        <w:gridCol w:w="1701"/>
        <w:gridCol w:w="1701"/>
        <w:gridCol w:w="1677"/>
      </w:tblGrid>
      <w:tr w:rsidR="0011787F" w:rsidRPr="008D6AC4" w14:paraId="37BADFD6" w14:textId="77777777" w:rsidTr="007443FF">
        <w:trPr>
          <w:trHeight w:val="300"/>
        </w:trPr>
        <w:tc>
          <w:tcPr>
            <w:tcW w:w="2376" w:type="dxa"/>
            <w:shd w:val="clear" w:color="auto" w:fill="DDF1F3"/>
          </w:tcPr>
          <w:p w14:paraId="4C391B77" w14:textId="77777777" w:rsidR="0011787F" w:rsidRPr="008D6AC4" w:rsidRDefault="00A862A4" w:rsidP="003B1CE3">
            <w:pPr>
              <w:rPr>
                <w:rFonts w:ascii="Verdana" w:hAnsi="Verdana"/>
                <w:b/>
                <w:bCs/>
                <w:sz w:val="22"/>
                <w:szCs w:val="22"/>
              </w:rPr>
            </w:pPr>
            <w:r w:rsidRPr="008D6AC4">
              <w:rPr>
                <w:rFonts w:ascii="Verdana" w:hAnsi="Verdana"/>
                <w:b/>
                <w:bCs/>
                <w:sz w:val="22"/>
                <w:szCs w:val="22"/>
              </w:rPr>
              <w:t>Service provider</w:t>
            </w:r>
          </w:p>
        </w:tc>
        <w:tc>
          <w:tcPr>
            <w:tcW w:w="1560" w:type="dxa"/>
            <w:shd w:val="clear" w:color="auto" w:fill="DDF1F3"/>
          </w:tcPr>
          <w:p w14:paraId="45DF8E67" w14:textId="77777777" w:rsidR="0011787F" w:rsidRPr="008D6AC4" w:rsidRDefault="0011787F" w:rsidP="003B1CE3">
            <w:pPr>
              <w:rPr>
                <w:rFonts w:ascii="Verdana" w:hAnsi="Verdana"/>
                <w:b/>
                <w:bCs/>
                <w:sz w:val="22"/>
                <w:szCs w:val="22"/>
              </w:rPr>
            </w:pPr>
            <w:r w:rsidRPr="008D6AC4">
              <w:rPr>
                <w:rFonts w:ascii="Verdana" w:hAnsi="Verdana"/>
                <w:b/>
                <w:bCs/>
                <w:sz w:val="22"/>
                <w:szCs w:val="22"/>
              </w:rPr>
              <w:t>2019/20</w:t>
            </w:r>
          </w:p>
        </w:tc>
        <w:tc>
          <w:tcPr>
            <w:tcW w:w="1701" w:type="dxa"/>
            <w:shd w:val="clear" w:color="auto" w:fill="DDF1F3"/>
          </w:tcPr>
          <w:p w14:paraId="2C66EE05" w14:textId="77777777" w:rsidR="0011787F" w:rsidRPr="008D6AC4" w:rsidRDefault="0011787F" w:rsidP="003B1CE3">
            <w:pPr>
              <w:rPr>
                <w:rFonts w:ascii="Verdana" w:hAnsi="Verdana"/>
                <w:b/>
                <w:bCs/>
                <w:sz w:val="22"/>
                <w:szCs w:val="22"/>
              </w:rPr>
            </w:pPr>
            <w:r w:rsidRPr="008D6AC4">
              <w:rPr>
                <w:rFonts w:ascii="Verdana" w:hAnsi="Verdana"/>
                <w:b/>
                <w:bCs/>
                <w:sz w:val="22"/>
                <w:szCs w:val="22"/>
              </w:rPr>
              <w:t>2020/21</w:t>
            </w:r>
          </w:p>
        </w:tc>
        <w:tc>
          <w:tcPr>
            <w:tcW w:w="1701" w:type="dxa"/>
            <w:shd w:val="clear" w:color="auto" w:fill="DDF1F3"/>
          </w:tcPr>
          <w:p w14:paraId="03C5FF2D" w14:textId="77777777" w:rsidR="0011787F" w:rsidRPr="008D6AC4" w:rsidRDefault="0011787F" w:rsidP="003B1CE3">
            <w:pPr>
              <w:rPr>
                <w:rFonts w:ascii="Verdana" w:hAnsi="Verdana"/>
                <w:b/>
                <w:bCs/>
                <w:sz w:val="22"/>
                <w:szCs w:val="22"/>
              </w:rPr>
            </w:pPr>
            <w:r w:rsidRPr="008D6AC4">
              <w:rPr>
                <w:rFonts w:ascii="Verdana" w:hAnsi="Verdana"/>
                <w:b/>
                <w:bCs/>
                <w:sz w:val="22"/>
                <w:szCs w:val="22"/>
              </w:rPr>
              <w:t>2021/22</w:t>
            </w:r>
          </w:p>
        </w:tc>
        <w:tc>
          <w:tcPr>
            <w:tcW w:w="1677" w:type="dxa"/>
            <w:shd w:val="clear" w:color="auto" w:fill="DDF1F3"/>
          </w:tcPr>
          <w:p w14:paraId="5DDB0E27" w14:textId="77777777" w:rsidR="0011787F" w:rsidRPr="008D6AC4" w:rsidRDefault="0011787F" w:rsidP="003B1CE3">
            <w:pPr>
              <w:rPr>
                <w:rFonts w:ascii="Verdana" w:hAnsi="Verdana"/>
                <w:b/>
                <w:bCs/>
                <w:sz w:val="22"/>
                <w:szCs w:val="22"/>
              </w:rPr>
            </w:pPr>
            <w:r w:rsidRPr="008D6AC4">
              <w:rPr>
                <w:rFonts w:ascii="Verdana" w:hAnsi="Verdana"/>
                <w:b/>
                <w:bCs/>
                <w:sz w:val="22"/>
                <w:szCs w:val="22"/>
              </w:rPr>
              <w:t>2022/23</w:t>
            </w:r>
          </w:p>
        </w:tc>
      </w:tr>
      <w:tr w:rsidR="0011787F" w:rsidRPr="008D6AC4" w14:paraId="4462E18F" w14:textId="77777777" w:rsidTr="0E4D9769">
        <w:trPr>
          <w:trHeight w:val="300"/>
        </w:trPr>
        <w:tc>
          <w:tcPr>
            <w:tcW w:w="2376" w:type="dxa"/>
          </w:tcPr>
          <w:p w14:paraId="1729DD47" w14:textId="77777777" w:rsidR="0011787F" w:rsidRPr="008D6AC4" w:rsidRDefault="0011787F" w:rsidP="003B1CE3">
            <w:pPr>
              <w:rPr>
                <w:rFonts w:ascii="Verdana" w:hAnsi="Verdana"/>
                <w:sz w:val="22"/>
                <w:szCs w:val="22"/>
              </w:rPr>
            </w:pPr>
            <w:r w:rsidRPr="008D6AC4">
              <w:rPr>
                <w:rFonts w:ascii="Verdana" w:hAnsi="Verdana"/>
                <w:sz w:val="22"/>
                <w:szCs w:val="22"/>
              </w:rPr>
              <w:t>KCHFT</w:t>
            </w:r>
          </w:p>
        </w:tc>
        <w:tc>
          <w:tcPr>
            <w:tcW w:w="1560" w:type="dxa"/>
          </w:tcPr>
          <w:p w14:paraId="3C1A99AD" w14:textId="77777777" w:rsidR="0011787F" w:rsidRPr="008D6AC4" w:rsidRDefault="0011787F" w:rsidP="003B1CE3">
            <w:pPr>
              <w:rPr>
                <w:rFonts w:ascii="Verdana" w:hAnsi="Verdana"/>
                <w:sz w:val="22"/>
                <w:szCs w:val="22"/>
              </w:rPr>
            </w:pPr>
            <w:r w:rsidRPr="008D6AC4">
              <w:rPr>
                <w:rFonts w:ascii="Verdana" w:hAnsi="Verdana"/>
                <w:sz w:val="22"/>
                <w:szCs w:val="22"/>
              </w:rPr>
              <w:t>496</w:t>
            </w:r>
          </w:p>
        </w:tc>
        <w:tc>
          <w:tcPr>
            <w:tcW w:w="1701" w:type="dxa"/>
          </w:tcPr>
          <w:p w14:paraId="6386541E" w14:textId="77777777" w:rsidR="0011787F" w:rsidRPr="008D6AC4" w:rsidRDefault="0011787F" w:rsidP="003B1CE3">
            <w:pPr>
              <w:rPr>
                <w:rFonts w:ascii="Verdana" w:hAnsi="Verdana"/>
                <w:sz w:val="22"/>
                <w:szCs w:val="22"/>
              </w:rPr>
            </w:pPr>
            <w:r w:rsidRPr="008D6AC4">
              <w:rPr>
                <w:rFonts w:ascii="Verdana" w:hAnsi="Verdana"/>
                <w:sz w:val="22"/>
                <w:szCs w:val="22"/>
              </w:rPr>
              <w:t>518</w:t>
            </w:r>
          </w:p>
        </w:tc>
        <w:tc>
          <w:tcPr>
            <w:tcW w:w="1701" w:type="dxa"/>
          </w:tcPr>
          <w:p w14:paraId="3355EDAC" w14:textId="77777777" w:rsidR="0011787F" w:rsidRPr="008D6AC4" w:rsidRDefault="0011787F" w:rsidP="003B1CE3">
            <w:pPr>
              <w:rPr>
                <w:rFonts w:ascii="Verdana" w:hAnsi="Verdana"/>
                <w:sz w:val="22"/>
                <w:szCs w:val="22"/>
              </w:rPr>
            </w:pPr>
            <w:r w:rsidRPr="008D6AC4">
              <w:rPr>
                <w:rFonts w:ascii="Verdana" w:hAnsi="Verdana"/>
                <w:sz w:val="22"/>
                <w:szCs w:val="22"/>
              </w:rPr>
              <w:t>514</w:t>
            </w:r>
          </w:p>
        </w:tc>
        <w:tc>
          <w:tcPr>
            <w:tcW w:w="1677" w:type="dxa"/>
          </w:tcPr>
          <w:p w14:paraId="028BB31C" w14:textId="77777777" w:rsidR="0011787F" w:rsidRPr="008D6AC4" w:rsidRDefault="0011787F" w:rsidP="003B1CE3">
            <w:pPr>
              <w:rPr>
                <w:rFonts w:ascii="Verdana" w:hAnsi="Verdana"/>
                <w:sz w:val="22"/>
                <w:szCs w:val="22"/>
              </w:rPr>
            </w:pPr>
            <w:r w:rsidRPr="008D6AC4">
              <w:rPr>
                <w:rFonts w:ascii="Verdana" w:hAnsi="Verdana"/>
                <w:sz w:val="22"/>
                <w:szCs w:val="22"/>
              </w:rPr>
              <w:t>546</w:t>
            </w:r>
          </w:p>
        </w:tc>
      </w:tr>
      <w:tr w:rsidR="0011787F" w:rsidRPr="008D6AC4" w14:paraId="3EE433E1" w14:textId="77777777" w:rsidTr="0E4D9769">
        <w:trPr>
          <w:trHeight w:val="300"/>
        </w:trPr>
        <w:tc>
          <w:tcPr>
            <w:tcW w:w="2376" w:type="dxa"/>
          </w:tcPr>
          <w:p w14:paraId="2074011F" w14:textId="77777777" w:rsidR="0011787F" w:rsidRPr="008D6AC4" w:rsidRDefault="0011787F" w:rsidP="003B1CE3">
            <w:pPr>
              <w:rPr>
                <w:rFonts w:ascii="Verdana" w:hAnsi="Verdana"/>
                <w:sz w:val="22"/>
                <w:szCs w:val="22"/>
              </w:rPr>
            </w:pPr>
            <w:r w:rsidRPr="008D6AC4">
              <w:rPr>
                <w:rFonts w:ascii="Verdana" w:hAnsi="Verdana"/>
                <w:sz w:val="22"/>
                <w:szCs w:val="22"/>
              </w:rPr>
              <w:t>MTW</w:t>
            </w:r>
          </w:p>
        </w:tc>
        <w:tc>
          <w:tcPr>
            <w:tcW w:w="1560" w:type="dxa"/>
          </w:tcPr>
          <w:p w14:paraId="1D5BC866" w14:textId="77777777" w:rsidR="0011787F" w:rsidRPr="008D6AC4" w:rsidRDefault="0011787F" w:rsidP="003B1CE3">
            <w:pPr>
              <w:rPr>
                <w:rFonts w:ascii="Verdana" w:hAnsi="Verdana"/>
                <w:sz w:val="22"/>
                <w:szCs w:val="22"/>
              </w:rPr>
            </w:pPr>
            <w:r w:rsidRPr="008D6AC4">
              <w:rPr>
                <w:rFonts w:ascii="Verdana" w:hAnsi="Verdana"/>
                <w:sz w:val="22"/>
                <w:szCs w:val="22"/>
              </w:rPr>
              <w:t>479</w:t>
            </w:r>
          </w:p>
        </w:tc>
        <w:tc>
          <w:tcPr>
            <w:tcW w:w="1701" w:type="dxa"/>
          </w:tcPr>
          <w:p w14:paraId="6523A521" w14:textId="77777777" w:rsidR="0011787F" w:rsidRPr="008D6AC4" w:rsidRDefault="0011787F" w:rsidP="003B1CE3">
            <w:pPr>
              <w:rPr>
                <w:rFonts w:ascii="Verdana" w:hAnsi="Verdana"/>
                <w:sz w:val="22"/>
                <w:szCs w:val="22"/>
              </w:rPr>
            </w:pPr>
            <w:r w:rsidRPr="008D6AC4">
              <w:rPr>
                <w:rFonts w:ascii="Verdana" w:hAnsi="Verdana"/>
                <w:sz w:val="22"/>
                <w:szCs w:val="22"/>
              </w:rPr>
              <w:t>476</w:t>
            </w:r>
          </w:p>
        </w:tc>
        <w:tc>
          <w:tcPr>
            <w:tcW w:w="1701" w:type="dxa"/>
          </w:tcPr>
          <w:p w14:paraId="2382C60C" w14:textId="77777777" w:rsidR="0011787F" w:rsidRPr="008D6AC4" w:rsidRDefault="0011787F" w:rsidP="003B1CE3">
            <w:pPr>
              <w:rPr>
                <w:rFonts w:ascii="Verdana" w:hAnsi="Verdana"/>
                <w:sz w:val="22"/>
                <w:szCs w:val="22"/>
              </w:rPr>
            </w:pPr>
            <w:r w:rsidRPr="008D6AC4">
              <w:rPr>
                <w:rFonts w:ascii="Verdana" w:hAnsi="Verdana"/>
                <w:sz w:val="22"/>
                <w:szCs w:val="22"/>
              </w:rPr>
              <w:t>485</w:t>
            </w:r>
          </w:p>
        </w:tc>
        <w:tc>
          <w:tcPr>
            <w:tcW w:w="1677" w:type="dxa"/>
          </w:tcPr>
          <w:p w14:paraId="6AF472C7" w14:textId="77777777" w:rsidR="0011787F" w:rsidRPr="008D6AC4" w:rsidRDefault="0011787F" w:rsidP="003B1CE3">
            <w:pPr>
              <w:rPr>
                <w:rFonts w:ascii="Verdana" w:hAnsi="Verdana"/>
                <w:sz w:val="22"/>
                <w:szCs w:val="22"/>
              </w:rPr>
            </w:pPr>
            <w:r w:rsidRPr="008D6AC4">
              <w:rPr>
                <w:rFonts w:ascii="Verdana" w:hAnsi="Verdana"/>
                <w:sz w:val="22"/>
                <w:szCs w:val="22"/>
              </w:rPr>
              <w:t>512</w:t>
            </w:r>
          </w:p>
        </w:tc>
      </w:tr>
      <w:tr w:rsidR="0011787F" w:rsidRPr="008D6AC4" w14:paraId="18ECCEE3" w14:textId="77777777" w:rsidTr="0E4D9769">
        <w:trPr>
          <w:trHeight w:val="300"/>
        </w:trPr>
        <w:tc>
          <w:tcPr>
            <w:tcW w:w="2376" w:type="dxa"/>
          </w:tcPr>
          <w:p w14:paraId="53A714AE" w14:textId="77777777" w:rsidR="0011787F" w:rsidRPr="008D6AC4" w:rsidRDefault="0011787F" w:rsidP="003B1CE3">
            <w:pPr>
              <w:rPr>
                <w:rFonts w:ascii="Verdana" w:hAnsi="Verdana"/>
                <w:sz w:val="22"/>
                <w:szCs w:val="22"/>
              </w:rPr>
            </w:pPr>
            <w:r w:rsidRPr="008D6AC4">
              <w:rPr>
                <w:rFonts w:ascii="Verdana" w:hAnsi="Verdana"/>
                <w:sz w:val="22"/>
                <w:szCs w:val="22"/>
              </w:rPr>
              <w:lastRenderedPageBreak/>
              <w:t>Total</w:t>
            </w:r>
          </w:p>
        </w:tc>
        <w:tc>
          <w:tcPr>
            <w:tcW w:w="1560" w:type="dxa"/>
          </w:tcPr>
          <w:p w14:paraId="4BD13E29" w14:textId="77777777" w:rsidR="0011787F" w:rsidRPr="008D6AC4" w:rsidRDefault="0011787F" w:rsidP="003B1CE3">
            <w:pPr>
              <w:rPr>
                <w:rFonts w:ascii="Verdana" w:hAnsi="Verdana"/>
                <w:sz w:val="22"/>
                <w:szCs w:val="22"/>
              </w:rPr>
            </w:pPr>
            <w:r w:rsidRPr="008D6AC4">
              <w:rPr>
                <w:rFonts w:ascii="Verdana" w:hAnsi="Verdana"/>
                <w:sz w:val="22"/>
                <w:szCs w:val="22"/>
              </w:rPr>
              <w:t>975</w:t>
            </w:r>
          </w:p>
        </w:tc>
        <w:tc>
          <w:tcPr>
            <w:tcW w:w="1701" w:type="dxa"/>
          </w:tcPr>
          <w:p w14:paraId="354A9AC3" w14:textId="77777777" w:rsidR="0011787F" w:rsidRPr="008D6AC4" w:rsidRDefault="0011787F" w:rsidP="003B1CE3">
            <w:pPr>
              <w:rPr>
                <w:rFonts w:ascii="Verdana" w:hAnsi="Verdana"/>
                <w:sz w:val="22"/>
                <w:szCs w:val="22"/>
              </w:rPr>
            </w:pPr>
            <w:r w:rsidRPr="008D6AC4">
              <w:rPr>
                <w:rFonts w:ascii="Verdana" w:hAnsi="Verdana"/>
                <w:sz w:val="22"/>
                <w:szCs w:val="22"/>
              </w:rPr>
              <w:t>994</w:t>
            </w:r>
          </w:p>
        </w:tc>
        <w:tc>
          <w:tcPr>
            <w:tcW w:w="1701" w:type="dxa"/>
          </w:tcPr>
          <w:p w14:paraId="0A200BF3" w14:textId="77777777" w:rsidR="0011787F" w:rsidRPr="008D6AC4" w:rsidRDefault="0011787F" w:rsidP="003B1CE3">
            <w:pPr>
              <w:rPr>
                <w:rFonts w:ascii="Verdana" w:hAnsi="Verdana"/>
                <w:sz w:val="22"/>
                <w:szCs w:val="22"/>
              </w:rPr>
            </w:pPr>
            <w:r w:rsidRPr="008D6AC4">
              <w:rPr>
                <w:rFonts w:ascii="Verdana" w:hAnsi="Verdana"/>
                <w:sz w:val="22"/>
                <w:szCs w:val="22"/>
              </w:rPr>
              <w:t>999</w:t>
            </w:r>
          </w:p>
        </w:tc>
        <w:tc>
          <w:tcPr>
            <w:tcW w:w="1677" w:type="dxa"/>
          </w:tcPr>
          <w:p w14:paraId="0A772C57" w14:textId="77777777" w:rsidR="0011787F" w:rsidRPr="008D6AC4" w:rsidRDefault="0011787F" w:rsidP="003B1CE3">
            <w:pPr>
              <w:rPr>
                <w:rFonts w:ascii="Verdana" w:hAnsi="Verdana"/>
                <w:sz w:val="22"/>
                <w:szCs w:val="22"/>
              </w:rPr>
            </w:pPr>
            <w:r w:rsidRPr="008D6AC4">
              <w:rPr>
                <w:rFonts w:ascii="Verdana" w:hAnsi="Verdana"/>
                <w:sz w:val="22"/>
                <w:szCs w:val="22"/>
              </w:rPr>
              <w:t>1058</w:t>
            </w:r>
          </w:p>
        </w:tc>
      </w:tr>
    </w:tbl>
    <w:p w14:paraId="4FC9A6AB" w14:textId="77777777" w:rsidR="0011787F" w:rsidRPr="008D6AC4" w:rsidRDefault="0011787F" w:rsidP="0011787F">
      <w:pPr>
        <w:rPr>
          <w:rFonts w:ascii="Verdana" w:hAnsi="Verdana"/>
          <w:sz w:val="22"/>
          <w:szCs w:val="22"/>
        </w:rPr>
      </w:pPr>
    </w:p>
    <w:p w14:paraId="060BBD8D" w14:textId="77777777" w:rsidR="0011787F" w:rsidRPr="008D6AC4" w:rsidRDefault="22065E35" w:rsidP="0011787F">
      <w:pPr>
        <w:rPr>
          <w:rFonts w:ascii="Verdana" w:hAnsi="Verdana"/>
          <w:b/>
          <w:bCs/>
          <w:sz w:val="22"/>
          <w:szCs w:val="22"/>
        </w:rPr>
      </w:pPr>
      <w:r w:rsidRPr="136F3BEB">
        <w:rPr>
          <w:rFonts w:ascii="Verdana" w:hAnsi="Verdana"/>
          <w:b/>
          <w:bCs/>
          <w:sz w:val="22"/>
          <w:szCs w:val="22"/>
        </w:rPr>
        <w:t xml:space="preserve">Table </w:t>
      </w:r>
      <w:r w:rsidR="31FF2CD3" w:rsidRPr="136F3BEB">
        <w:rPr>
          <w:rFonts w:ascii="Verdana" w:hAnsi="Verdana"/>
          <w:b/>
          <w:bCs/>
          <w:sz w:val="22"/>
          <w:szCs w:val="22"/>
        </w:rPr>
        <w:t>6</w:t>
      </w:r>
      <w:r w:rsidRPr="136F3BEB">
        <w:rPr>
          <w:rFonts w:ascii="Verdana" w:hAnsi="Verdana"/>
          <w:b/>
          <w:bCs/>
          <w:sz w:val="22"/>
          <w:szCs w:val="22"/>
        </w:rPr>
        <w:t>: Number of attendances, DNAs, and DNA proportion (%) from 2020 to 2024</w:t>
      </w:r>
    </w:p>
    <w:tbl>
      <w:tblPr>
        <w:tblStyle w:val="TableGrid"/>
        <w:tblW w:w="0" w:type="auto"/>
        <w:tblLayout w:type="fixed"/>
        <w:tblLook w:val="06A0" w:firstRow="1" w:lastRow="0" w:firstColumn="1" w:lastColumn="0" w:noHBand="1" w:noVBand="1"/>
      </w:tblPr>
      <w:tblGrid>
        <w:gridCol w:w="2376"/>
        <w:gridCol w:w="1843"/>
        <w:gridCol w:w="1701"/>
        <w:gridCol w:w="1559"/>
        <w:gridCol w:w="1536"/>
      </w:tblGrid>
      <w:tr w:rsidR="0011787F" w:rsidRPr="008D6AC4" w14:paraId="6BFB19CC" w14:textId="77777777" w:rsidTr="007443FF">
        <w:trPr>
          <w:trHeight w:val="300"/>
        </w:trPr>
        <w:tc>
          <w:tcPr>
            <w:tcW w:w="2376" w:type="dxa"/>
            <w:shd w:val="clear" w:color="auto" w:fill="DDF1F3"/>
          </w:tcPr>
          <w:p w14:paraId="0B736C05" w14:textId="77777777" w:rsidR="0011787F" w:rsidRPr="008D6AC4" w:rsidRDefault="0011787F" w:rsidP="003B1CE3">
            <w:pPr>
              <w:rPr>
                <w:rFonts w:ascii="Verdana" w:hAnsi="Verdana"/>
                <w:b/>
                <w:bCs/>
                <w:sz w:val="22"/>
                <w:szCs w:val="22"/>
              </w:rPr>
            </w:pPr>
          </w:p>
        </w:tc>
        <w:tc>
          <w:tcPr>
            <w:tcW w:w="1843" w:type="dxa"/>
            <w:shd w:val="clear" w:color="auto" w:fill="DDF1F3"/>
          </w:tcPr>
          <w:p w14:paraId="6603AC38" w14:textId="77777777" w:rsidR="0011787F" w:rsidRPr="008D6AC4" w:rsidRDefault="0011787F" w:rsidP="003B1CE3">
            <w:pPr>
              <w:rPr>
                <w:rFonts w:ascii="Verdana" w:hAnsi="Verdana"/>
                <w:b/>
                <w:bCs/>
                <w:sz w:val="22"/>
                <w:szCs w:val="22"/>
              </w:rPr>
            </w:pPr>
            <w:r w:rsidRPr="008D6AC4">
              <w:rPr>
                <w:rFonts w:ascii="Verdana" w:hAnsi="Verdana"/>
                <w:b/>
                <w:bCs/>
                <w:sz w:val="22"/>
                <w:szCs w:val="22"/>
              </w:rPr>
              <w:t>2020/21</w:t>
            </w:r>
          </w:p>
        </w:tc>
        <w:tc>
          <w:tcPr>
            <w:tcW w:w="1701" w:type="dxa"/>
            <w:shd w:val="clear" w:color="auto" w:fill="DDF1F3"/>
          </w:tcPr>
          <w:p w14:paraId="35F2C739" w14:textId="77777777" w:rsidR="0011787F" w:rsidRPr="008D6AC4" w:rsidRDefault="0011787F" w:rsidP="003B1CE3">
            <w:pPr>
              <w:rPr>
                <w:rFonts w:ascii="Verdana" w:hAnsi="Verdana"/>
                <w:b/>
                <w:bCs/>
                <w:sz w:val="22"/>
                <w:szCs w:val="22"/>
              </w:rPr>
            </w:pPr>
            <w:r w:rsidRPr="008D6AC4">
              <w:rPr>
                <w:rFonts w:ascii="Verdana" w:hAnsi="Verdana"/>
                <w:b/>
                <w:bCs/>
                <w:sz w:val="22"/>
                <w:szCs w:val="22"/>
              </w:rPr>
              <w:t>2021/22</w:t>
            </w:r>
          </w:p>
        </w:tc>
        <w:tc>
          <w:tcPr>
            <w:tcW w:w="1559" w:type="dxa"/>
            <w:shd w:val="clear" w:color="auto" w:fill="DDF1F3"/>
          </w:tcPr>
          <w:p w14:paraId="3DD1983E" w14:textId="77777777" w:rsidR="0011787F" w:rsidRPr="008D6AC4" w:rsidRDefault="0011787F" w:rsidP="003B1CE3">
            <w:pPr>
              <w:rPr>
                <w:rFonts w:ascii="Verdana" w:hAnsi="Verdana"/>
                <w:b/>
                <w:bCs/>
                <w:sz w:val="22"/>
                <w:szCs w:val="22"/>
              </w:rPr>
            </w:pPr>
            <w:r w:rsidRPr="008D6AC4">
              <w:rPr>
                <w:rFonts w:ascii="Verdana" w:hAnsi="Verdana"/>
                <w:b/>
                <w:bCs/>
                <w:sz w:val="22"/>
                <w:szCs w:val="22"/>
              </w:rPr>
              <w:t>2022/23</w:t>
            </w:r>
          </w:p>
        </w:tc>
        <w:tc>
          <w:tcPr>
            <w:tcW w:w="1536" w:type="dxa"/>
            <w:shd w:val="clear" w:color="auto" w:fill="DDF1F3"/>
          </w:tcPr>
          <w:p w14:paraId="2CCA67C1" w14:textId="77777777" w:rsidR="0011787F" w:rsidRPr="008D6AC4" w:rsidRDefault="0011787F" w:rsidP="003B1CE3">
            <w:pPr>
              <w:rPr>
                <w:rFonts w:ascii="Verdana" w:hAnsi="Verdana"/>
                <w:b/>
                <w:bCs/>
                <w:sz w:val="22"/>
                <w:szCs w:val="22"/>
              </w:rPr>
            </w:pPr>
            <w:r w:rsidRPr="008D6AC4">
              <w:rPr>
                <w:rFonts w:ascii="Verdana" w:hAnsi="Verdana"/>
                <w:b/>
                <w:bCs/>
                <w:sz w:val="22"/>
                <w:szCs w:val="22"/>
              </w:rPr>
              <w:t>2023/24</w:t>
            </w:r>
          </w:p>
        </w:tc>
      </w:tr>
      <w:tr w:rsidR="0011787F" w:rsidRPr="008D6AC4" w14:paraId="247CD797" w14:textId="77777777" w:rsidTr="0E4D9769">
        <w:trPr>
          <w:trHeight w:val="300"/>
        </w:trPr>
        <w:tc>
          <w:tcPr>
            <w:tcW w:w="2376" w:type="dxa"/>
          </w:tcPr>
          <w:p w14:paraId="1B199A47" w14:textId="77777777" w:rsidR="0011787F" w:rsidRPr="008D6AC4" w:rsidRDefault="0011787F" w:rsidP="003B1CE3">
            <w:pPr>
              <w:rPr>
                <w:rFonts w:ascii="Verdana" w:hAnsi="Verdana"/>
                <w:sz w:val="22"/>
                <w:szCs w:val="22"/>
              </w:rPr>
            </w:pPr>
            <w:r w:rsidRPr="008D6AC4">
              <w:rPr>
                <w:rFonts w:ascii="Verdana" w:hAnsi="Verdana"/>
                <w:sz w:val="22"/>
                <w:szCs w:val="22"/>
              </w:rPr>
              <w:t>No. attendances</w:t>
            </w:r>
          </w:p>
        </w:tc>
        <w:tc>
          <w:tcPr>
            <w:tcW w:w="1843" w:type="dxa"/>
          </w:tcPr>
          <w:p w14:paraId="40405050" w14:textId="77777777" w:rsidR="0011787F" w:rsidRPr="008D6AC4" w:rsidRDefault="0011787F" w:rsidP="003B1CE3">
            <w:pPr>
              <w:rPr>
                <w:rFonts w:ascii="Verdana" w:hAnsi="Verdana"/>
                <w:sz w:val="22"/>
                <w:szCs w:val="22"/>
              </w:rPr>
            </w:pPr>
            <w:r w:rsidRPr="008D6AC4">
              <w:rPr>
                <w:rFonts w:ascii="Verdana" w:hAnsi="Verdana"/>
                <w:sz w:val="22"/>
                <w:szCs w:val="22"/>
              </w:rPr>
              <w:t>2,753</w:t>
            </w:r>
          </w:p>
        </w:tc>
        <w:tc>
          <w:tcPr>
            <w:tcW w:w="1701" w:type="dxa"/>
          </w:tcPr>
          <w:p w14:paraId="7E55E194" w14:textId="77777777" w:rsidR="0011787F" w:rsidRPr="008D6AC4" w:rsidRDefault="0011787F" w:rsidP="003B1CE3">
            <w:pPr>
              <w:rPr>
                <w:rFonts w:ascii="Verdana" w:hAnsi="Verdana"/>
                <w:sz w:val="22"/>
                <w:szCs w:val="22"/>
              </w:rPr>
            </w:pPr>
            <w:r w:rsidRPr="008D6AC4">
              <w:rPr>
                <w:rFonts w:ascii="Verdana" w:hAnsi="Verdana"/>
                <w:sz w:val="22"/>
                <w:szCs w:val="22"/>
              </w:rPr>
              <w:t>3,506</w:t>
            </w:r>
          </w:p>
        </w:tc>
        <w:tc>
          <w:tcPr>
            <w:tcW w:w="1559" w:type="dxa"/>
          </w:tcPr>
          <w:p w14:paraId="3FBBE6C6" w14:textId="77777777" w:rsidR="0011787F" w:rsidRPr="008D6AC4" w:rsidRDefault="0011787F" w:rsidP="003B1CE3">
            <w:pPr>
              <w:rPr>
                <w:rFonts w:ascii="Verdana" w:hAnsi="Verdana"/>
                <w:sz w:val="22"/>
                <w:szCs w:val="22"/>
              </w:rPr>
            </w:pPr>
            <w:r w:rsidRPr="008D6AC4">
              <w:rPr>
                <w:rFonts w:ascii="Verdana" w:hAnsi="Verdana"/>
                <w:sz w:val="22"/>
                <w:szCs w:val="22"/>
              </w:rPr>
              <w:t>4,028</w:t>
            </w:r>
          </w:p>
        </w:tc>
        <w:tc>
          <w:tcPr>
            <w:tcW w:w="1536" w:type="dxa"/>
          </w:tcPr>
          <w:p w14:paraId="26910516" w14:textId="77777777" w:rsidR="0011787F" w:rsidRPr="008D6AC4" w:rsidRDefault="0011787F" w:rsidP="003B1CE3">
            <w:pPr>
              <w:rPr>
                <w:rFonts w:ascii="Verdana" w:hAnsi="Verdana"/>
                <w:sz w:val="22"/>
                <w:szCs w:val="22"/>
              </w:rPr>
            </w:pPr>
            <w:r w:rsidRPr="008D6AC4">
              <w:rPr>
                <w:rFonts w:ascii="Verdana" w:hAnsi="Verdana"/>
                <w:sz w:val="22"/>
                <w:szCs w:val="22"/>
              </w:rPr>
              <w:t>940</w:t>
            </w:r>
          </w:p>
        </w:tc>
      </w:tr>
      <w:tr w:rsidR="0011787F" w:rsidRPr="008D6AC4" w14:paraId="2EB69C88" w14:textId="77777777" w:rsidTr="0E4D9769">
        <w:trPr>
          <w:trHeight w:val="300"/>
        </w:trPr>
        <w:tc>
          <w:tcPr>
            <w:tcW w:w="2376" w:type="dxa"/>
          </w:tcPr>
          <w:p w14:paraId="646770FA" w14:textId="77777777" w:rsidR="0011787F" w:rsidRPr="008D6AC4" w:rsidRDefault="0011787F" w:rsidP="003B1CE3">
            <w:pPr>
              <w:rPr>
                <w:rFonts w:ascii="Verdana" w:hAnsi="Verdana"/>
                <w:sz w:val="22"/>
                <w:szCs w:val="22"/>
              </w:rPr>
            </w:pPr>
            <w:r w:rsidRPr="008D6AC4">
              <w:rPr>
                <w:rFonts w:ascii="Verdana" w:hAnsi="Verdana"/>
                <w:sz w:val="22"/>
                <w:szCs w:val="22"/>
              </w:rPr>
              <w:t>No. DNAs</w:t>
            </w:r>
          </w:p>
        </w:tc>
        <w:tc>
          <w:tcPr>
            <w:tcW w:w="1843" w:type="dxa"/>
          </w:tcPr>
          <w:p w14:paraId="6F661EB4" w14:textId="77777777" w:rsidR="0011787F" w:rsidRPr="008D6AC4" w:rsidRDefault="0011787F" w:rsidP="003B1CE3">
            <w:pPr>
              <w:rPr>
                <w:rFonts w:ascii="Verdana" w:hAnsi="Verdana"/>
                <w:sz w:val="22"/>
                <w:szCs w:val="22"/>
              </w:rPr>
            </w:pPr>
            <w:r w:rsidRPr="008D6AC4">
              <w:rPr>
                <w:rFonts w:ascii="Verdana" w:hAnsi="Verdana"/>
                <w:sz w:val="22"/>
                <w:szCs w:val="22"/>
              </w:rPr>
              <w:t>197</w:t>
            </w:r>
          </w:p>
        </w:tc>
        <w:tc>
          <w:tcPr>
            <w:tcW w:w="1701" w:type="dxa"/>
          </w:tcPr>
          <w:p w14:paraId="3BB4D135" w14:textId="77777777" w:rsidR="0011787F" w:rsidRPr="008D6AC4" w:rsidRDefault="0011787F" w:rsidP="003B1CE3">
            <w:pPr>
              <w:rPr>
                <w:rFonts w:ascii="Verdana" w:hAnsi="Verdana"/>
                <w:sz w:val="22"/>
                <w:szCs w:val="22"/>
              </w:rPr>
            </w:pPr>
            <w:r w:rsidRPr="008D6AC4">
              <w:rPr>
                <w:rFonts w:ascii="Verdana" w:hAnsi="Verdana"/>
                <w:sz w:val="22"/>
                <w:szCs w:val="22"/>
              </w:rPr>
              <w:t>448</w:t>
            </w:r>
          </w:p>
        </w:tc>
        <w:tc>
          <w:tcPr>
            <w:tcW w:w="1559" w:type="dxa"/>
          </w:tcPr>
          <w:p w14:paraId="22CAB4CC" w14:textId="77777777" w:rsidR="0011787F" w:rsidRPr="008D6AC4" w:rsidRDefault="0011787F" w:rsidP="003B1CE3">
            <w:pPr>
              <w:rPr>
                <w:rFonts w:ascii="Verdana" w:hAnsi="Verdana"/>
                <w:sz w:val="22"/>
                <w:szCs w:val="22"/>
              </w:rPr>
            </w:pPr>
            <w:r w:rsidRPr="008D6AC4">
              <w:rPr>
                <w:rFonts w:ascii="Verdana" w:hAnsi="Verdana"/>
                <w:sz w:val="22"/>
                <w:szCs w:val="22"/>
              </w:rPr>
              <w:t>458</w:t>
            </w:r>
          </w:p>
        </w:tc>
        <w:tc>
          <w:tcPr>
            <w:tcW w:w="1536" w:type="dxa"/>
          </w:tcPr>
          <w:p w14:paraId="5586C814" w14:textId="77777777" w:rsidR="0011787F" w:rsidRPr="008D6AC4" w:rsidRDefault="0011787F" w:rsidP="003B1CE3">
            <w:pPr>
              <w:rPr>
                <w:rFonts w:ascii="Verdana" w:hAnsi="Verdana"/>
                <w:sz w:val="22"/>
                <w:szCs w:val="22"/>
              </w:rPr>
            </w:pPr>
            <w:r w:rsidRPr="008D6AC4">
              <w:rPr>
                <w:rFonts w:ascii="Verdana" w:hAnsi="Verdana"/>
                <w:sz w:val="22"/>
                <w:szCs w:val="22"/>
              </w:rPr>
              <w:t>146</w:t>
            </w:r>
          </w:p>
        </w:tc>
      </w:tr>
      <w:tr w:rsidR="0011787F" w:rsidRPr="008D6AC4" w14:paraId="133D4C6B" w14:textId="77777777" w:rsidTr="0E4D9769">
        <w:trPr>
          <w:trHeight w:val="300"/>
        </w:trPr>
        <w:tc>
          <w:tcPr>
            <w:tcW w:w="2376" w:type="dxa"/>
          </w:tcPr>
          <w:p w14:paraId="2E9FCB26" w14:textId="77777777" w:rsidR="0011787F" w:rsidRPr="008D6AC4" w:rsidRDefault="0011787F" w:rsidP="003B1CE3">
            <w:pPr>
              <w:rPr>
                <w:rFonts w:ascii="Verdana" w:hAnsi="Verdana"/>
                <w:sz w:val="22"/>
                <w:szCs w:val="22"/>
              </w:rPr>
            </w:pPr>
            <w:r w:rsidRPr="008D6AC4">
              <w:rPr>
                <w:rFonts w:ascii="Verdana" w:hAnsi="Verdana"/>
                <w:sz w:val="22"/>
                <w:szCs w:val="22"/>
              </w:rPr>
              <w:t>DNA proportion (%)</w:t>
            </w:r>
          </w:p>
        </w:tc>
        <w:tc>
          <w:tcPr>
            <w:tcW w:w="1843" w:type="dxa"/>
          </w:tcPr>
          <w:p w14:paraId="43413E0E" w14:textId="77777777" w:rsidR="0011787F" w:rsidRPr="008D6AC4" w:rsidRDefault="0011787F" w:rsidP="003B1CE3">
            <w:pPr>
              <w:rPr>
                <w:rFonts w:ascii="Verdana" w:hAnsi="Verdana"/>
                <w:sz w:val="22"/>
                <w:szCs w:val="22"/>
              </w:rPr>
            </w:pPr>
            <w:r w:rsidRPr="008D6AC4">
              <w:rPr>
                <w:rFonts w:ascii="Verdana" w:hAnsi="Verdana"/>
                <w:sz w:val="22"/>
                <w:szCs w:val="22"/>
              </w:rPr>
              <w:t>6.68%</w:t>
            </w:r>
          </w:p>
        </w:tc>
        <w:tc>
          <w:tcPr>
            <w:tcW w:w="1701" w:type="dxa"/>
          </w:tcPr>
          <w:p w14:paraId="38F68357" w14:textId="77777777" w:rsidR="0011787F" w:rsidRPr="008D6AC4" w:rsidRDefault="0011787F" w:rsidP="003B1CE3">
            <w:pPr>
              <w:rPr>
                <w:rFonts w:ascii="Verdana" w:hAnsi="Verdana"/>
                <w:sz w:val="22"/>
                <w:szCs w:val="22"/>
              </w:rPr>
            </w:pPr>
            <w:r w:rsidRPr="008D6AC4">
              <w:rPr>
                <w:rFonts w:ascii="Verdana" w:hAnsi="Verdana"/>
                <w:sz w:val="22"/>
                <w:szCs w:val="22"/>
              </w:rPr>
              <w:t>11.33%</w:t>
            </w:r>
          </w:p>
        </w:tc>
        <w:tc>
          <w:tcPr>
            <w:tcW w:w="1559" w:type="dxa"/>
          </w:tcPr>
          <w:p w14:paraId="64197BCB" w14:textId="77777777" w:rsidR="0011787F" w:rsidRPr="008D6AC4" w:rsidRDefault="0011787F" w:rsidP="003B1CE3">
            <w:pPr>
              <w:rPr>
                <w:rFonts w:ascii="Verdana" w:hAnsi="Verdana"/>
                <w:sz w:val="22"/>
                <w:szCs w:val="22"/>
              </w:rPr>
            </w:pPr>
            <w:r w:rsidRPr="008D6AC4">
              <w:rPr>
                <w:rFonts w:ascii="Verdana" w:hAnsi="Verdana"/>
                <w:sz w:val="22"/>
                <w:szCs w:val="22"/>
              </w:rPr>
              <w:t>10.21%</w:t>
            </w:r>
          </w:p>
        </w:tc>
        <w:tc>
          <w:tcPr>
            <w:tcW w:w="1536" w:type="dxa"/>
          </w:tcPr>
          <w:p w14:paraId="40AEF6C2" w14:textId="77777777" w:rsidR="0011787F" w:rsidRPr="008D6AC4" w:rsidRDefault="0011787F" w:rsidP="003B1CE3">
            <w:pPr>
              <w:rPr>
                <w:rFonts w:ascii="Verdana" w:hAnsi="Verdana"/>
                <w:sz w:val="22"/>
                <w:szCs w:val="22"/>
              </w:rPr>
            </w:pPr>
            <w:r w:rsidRPr="008D6AC4">
              <w:rPr>
                <w:rFonts w:ascii="Verdana" w:hAnsi="Verdana"/>
                <w:sz w:val="22"/>
                <w:szCs w:val="22"/>
              </w:rPr>
              <w:t>13.44%</w:t>
            </w:r>
          </w:p>
        </w:tc>
      </w:tr>
    </w:tbl>
    <w:p w14:paraId="31A9537A" w14:textId="77777777" w:rsidR="0011787F" w:rsidRPr="008D6AC4" w:rsidRDefault="0011787F" w:rsidP="0011787F">
      <w:pPr>
        <w:rPr>
          <w:rFonts w:ascii="Verdana" w:hAnsi="Verdana"/>
          <w:sz w:val="22"/>
          <w:szCs w:val="22"/>
        </w:rPr>
      </w:pPr>
    </w:p>
    <w:p w14:paraId="47F44869" w14:textId="77777777" w:rsidR="0011787F" w:rsidRPr="008D6AC4" w:rsidRDefault="0011787F" w:rsidP="0011787F">
      <w:pPr>
        <w:jc w:val="both"/>
        <w:rPr>
          <w:rFonts w:ascii="Verdana" w:hAnsi="Verdana"/>
          <w:sz w:val="22"/>
          <w:szCs w:val="22"/>
        </w:rPr>
      </w:pPr>
      <w:r w:rsidRPr="008D6AC4">
        <w:rPr>
          <w:rFonts w:ascii="Verdana" w:hAnsi="Verdana"/>
          <w:sz w:val="22"/>
          <w:szCs w:val="22"/>
        </w:rPr>
        <w:t xml:space="preserve">Good practice for HIV services recommends a peer support service which is not currently offered within the Kent service. There is no available patient insights information. There are no local campaigns promoting the service and no budget available for these campaigns. </w:t>
      </w:r>
    </w:p>
    <w:p w14:paraId="018ABCDD" w14:textId="77777777" w:rsidR="0011787F" w:rsidRPr="008D6AC4" w:rsidRDefault="22065E35" w:rsidP="0011787F">
      <w:pPr>
        <w:jc w:val="both"/>
        <w:rPr>
          <w:rFonts w:ascii="Verdana" w:hAnsi="Verdana"/>
          <w:sz w:val="22"/>
          <w:szCs w:val="22"/>
        </w:rPr>
      </w:pPr>
      <w:r w:rsidRPr="136F3BEB">
        <w:rPr>
          <w:rFonts w:ascii="Verdana" w:hAnsi="Verdana"/>
          <w:sz w:val="22"/>
          <w:szCs w:val="22"/>
        </w:rPr>
        <w:t xml:space="preserve">The annual cost of the HIV service is increasingly higher than the funding from NHSE.  </w:t>
      </w:r>
    </w:p>
    <w:p w14:paraId="427C2029" w14:textId="77777777" w:rsidR="0011787F" w:rsidRPr="0089791B" w:rsidRDefault="695C1C3A" w:rsidP="136F3BEB">
      <w:pPr>
        <w:pStyle w:val="Heading2"/>
        <w:numPr>
          <w:ilvl w:val="0"/>
          <w:numId w:val="0"/>
        </w:numPr>
        <w:rPr>
          <w:rFonts w:ascii="Verdana" w:hAnsi="Verdana" w:cstheme="minorBidi"/>
          <w:sz w:val="22"/>
          <w:szCs w:val="22"/>
        </w:rPr>
      </w:pPr>
      <w:bookmarkStart w:id="54" w:name="_Toc1663967322"/>
      <w:r w:rsidRPr="136F3BEB">
        <w:rPr>
          <w:rFonts w:ascii="Verdana" w:hAnsi="Verdana"/>
          <w:sz w:val="22"/>
          <w:szCs w:val="22"/>
        </w:rPr>
        <w:t xml:space="preserve">5.3.1 </w:t>
      </w:r>
      <w:r w:rsidR="2445C4E4" w:rsidRPr="136F3BEB">
        <w:rPr>
          <w:rFonts w:ascii="Verdana" w:hAnsi="Verdana" w:cstheme="minorBidi"/>
          <w:sz w:val="22"/>
          <w:szCs w:val="22"/>
        </w:rPr>
        <w:t>Strengths of the HIV Services</w:t>
      </w:r>
      <w:bookmarkEnd w:id="54"/>
    </w:p>
    <w:p w14:paraId="2EEA8F60" w14:textId="77777777" w:rsidR="0011787F" w:rsidRPr="008D6AC4" w:rsidRDefault="0011787F" w:rsidP="00F8351F">
      <w:pPr>
        <w:pStyle w:val="ListParagraph"/>
        <w:numPr>
          <w:ilvl w:val="0"/>
          <w:numId w:val="10"/>
        </w:numPr>
        <w:spacing w:before="0" w:after="160" w:line="259" w:lineRule="auto"/>
        <w:jc w:val="both"/>
        <w:rPr>
          <w:rFonts w:ascii="Verdana" w:hAnsi="Verdana"/>
          <w:sz w:val="22"/>
          <w:szCs w:val="22"/>
        </w:rPr>
      </w:pPr>
      <w:r w:rsidRPr="008D6AC4">
        <w:rPr>
          <w:rFonts w:ascii="Verdana" w:hAnsi="Verdana"/>
          <w:sz w:val="22"/>
          <w:szCs w:val="22"/>
        </w:rPr>
        <w:t>KCHFT provide additional appointments with HCAs and pharmacists to provide a streamlined service and maximise best practice</w:t>
      </w:r>
    </w:p>
    <w:p w14:paraId="778B29F1" w14:textId="77777777" w:rsidR="0011787F" w:rsidRPr="008D6AC4" w:rsidRDefault="0011787F" w:rsidP="00F8351F">
      <w:pPr>
        <w:pStyle w:val="ListParagraph"/>
        <w:numPr>
          <w:ilvl w:val="0"/>
          <w:numId w:val="10"/>
        </w:numPr>
        <w:spacing w:before="0" w:after="160" w:line="259" w:lineRule="auto"/>
        <w:jc w:val="both"/>
        <w:rPr>
          <w:rFonts w:ascii="Verdana" w:hAnsi="Verdana"/>
          <w:sz w:val="22"/>
          <w:szCs w:val="22"/>
        </w:rPr>
      </w:pPr>
      <w:r w:rsidRPr="008D6AC4">
        <w:rPr>
          <w:rFonts w:ascii="Verdana" w:hAnsi="Verdana"/>
          <w:sz w:val="22"/>
          <w:szCs w:val="22"/>
        </w:rPr>
        <w:t>The integrated approach means that patients can be seen in a specialised environment and have access to full sexual health screening and services</w:t>
      </w:r>
    </w:p>
    <w:p w14:paraId="30D4FB1D" w14:textId="77777777" w:rsidR="0011787F" w:rsidRPr="0089791B" w:rsidRDefault="57221290" w:rsidP="136F3BEB">
      <w:pPr>
        <w:pStyle w:val="Heading2"/>
        <w:numPr>
          <w:ilvl w:val="0"/>
          <w:numId w:val="0"/>
        </w:numPr>
        <w:rPr>
          <w:rFonts w:ascii="Verdana" w:hAnsi="Verdana" w:cstheme="minorBidi"/>
          <w:sz w:val="22"/>
          <w:szCs w:val="22"/>
        </w:rPr>
      </w:pPr>
      <w:bookmarkStart w:id="55" w:name="_Toc916421659"/>
      <w:r w:rsidRPr="136F3BEB">
        <w:rPr>
          <w:rFonts w:ascii="Verdana" w:hAnsi="Verdana"/>
          <w:sz w:val="22"/>
          <w:szCs w:val="22"/>
        </w:rPr>
        <w:t xml:space="preserve">5.3.2 </w:t>
      </w:r>
      <w:r w:rsidR="2445C4E4" w:rsidRPr="136F3BEB">
        <w:rPr>
          <w:rFonts w:ascii="Verdana" w:hAnsi="Verdana" w:cstheme="minorBidi"/>
          <w:sz w:val="22"/>
          <w:szCs w:val="22"/>
        </w:rPr>
        <w:t>Possible Transformation Recommendations</w:t>
      </w:r>
      <w:bookmarkEnd w:id="55"/>
    </w:p>
    <w:p w14:paraId="75B2450C" w14:textId="77777777" w:rsidR="0011787F" w:rsidRPr="008D6AC4" w:rsidRDefault="0011787F" w:rsidP="00F8351F">
      <w:pPr>
        <w:pStyle w:val="ListParagraph"/>
        <w:numPr>
          <w:ilvl w:val="0"/>
          <w:numId w:val="11"/>
        </w:numPr>
        <w:spacing w:before="0" w:after="160" w:line="259" w:lineRule="auto"/>
        <w:jc w:val="both"/>
        <w:rPr>
          <w:rFonts w:ascii="Verdana" w:hAnsi="Verdana"/>
          <w:sz w:val="22"/>
          <w:szCs w:val="22"/>
        </w:rPr>
      </w:pPr>
      <w:r w:rsidRPr="008D6AC4">
        <w:rPr>
          <w:rFonts w:ascii="Verdana" w:hAnsi="Verdana"/>
          <w:sz w:val="22"/>
          <w:szCs w:val="22"/>
        </w:rPr>
        <w:t>Review of budget for HIV services, considering the rising demand and costs</w:t>
      </w:r>
    </w:p>
    <w:p w14:paraId="530FE26E" w14:textId="77777777" w:rsidR="0011787F" w:rsidRPr="008D6AC4" w:rsidRDefault="0011787F" w:rsidP="00F8351F">
      <w:pPr>
        <w:pStyle w:val="ListParagraph"/>
        <w:numPr>
          <w:ilvl w:val="0"/>
          <w:numId w:val="11"/>
        </w:numPr>
        <w:spacing w:before="0" w:after="160" w:line="259" w:lineRule="auto"/>
        <w:jc w:val="both"/>
        <w:rPr>
          <w:rFonts w:ascii="Verdana" w:hAnsi="Verdana"/>
          <w:sz w:val="22"/>
          <w:szCs w:val="22"/>
        </w:rPr>
      </w:pPr>
      <w:r w:rsidRPr="008D6AC4">
        <w:rPr>
          <w:rFonts w:ascii="Verdana" w:hAnsi="Verdana"/>
          <w:sz w:val="22"/>
          <w:szCs w:val="22"/>
        </w:rPr>
        <w:t>Patient insights data to understand why the DNA proportion is steadily rising. Important to address this given the increasing demand and cost for the service.</w:t>
      </w:r>
    </w:p>
    <w:p w14:paraId="236E8695" w14:textId="77777777" w:rsidR="0011787F" w:rsidRPr="008D6AC4" w:rsidRDefault="0011787F" w:rsidP="00F8351F">
      <w:pPr>
        <w:pStyle w:val="ListParagraph"/>
        <w:numPr>
          <w:ilvl w:val="0"/>
          <w:numId w:val="11"/>
        </w:numPr>
        <w:spacing w:before="0" w:after="160" w:line="259" w:lineRule="auto"/>
        <w:jc w:val="both"/>
        <w:rPr>
          <w:rFonts w:ascii="Verdana" w:hAnsi="Verdana"/>
          <w:sz w:val="22"/>
          <w:szCs w:val="22"/>
        </w:rPr>
      </w:pPr>
      <w:r w:rsidRPr="008D6AC4">
        <w:rPr>
          <w:rFonts w:ascii="Verdana" w:hAnsi="Verdana"/>
          <w:sz w:val="22"/>
          <w:szCs w:val="22"/>
        </w:rPr>
        <w:t xml:space="preserve">Develop a peer support service, as recommended as best practice </w:t>
      </w:r>
    </w:p>
    <w:p w14:paraId="622DB5D4" w14:textId="77777777" w:rsidR="0011787F" w:rsidRPr="008D6AC4" w:rsidRDefault="0011787F" w:rsidP="00F8351F">
      <w:pPr>
        <w:pStyle w:val="ListParagraph"/>
        <w:numPr>
          <w:ilvl w:val="0"/>
          <w:numId w:val="11"/>
        </w:numPr>
        <w:spacing w:before="0" w:after="160" w:line="259" w:lineRule="auto"/>
        <w:jc w:val="both"/>
        <w:rPr>
          <w:rFonts w:ascii="Verdana" w:hAnsi="Verdana"/>
          <w:sz w:val="22"/>
          <w:szCs w:val="22"/>
        </w:rPr>
      </w:pPr>
      <w:r w:rsidRPr="008D6AC4">
        <w:rPr>
          <w:rFonts w:ascii="Verdana" w:hAnsi="Verdana"/>
          <w:sz w:val="22"/>
          <w:szCs w:val="22"/>
        </w:rPr>
        <w:t>Review the options for strengthening of provision of HIV service provided to residents in Swale, Dover, Sevenoaks and Tonbridge &amp; Malling</w:t>
      </w:r>
    </w:p>
    <w:p w14:paraId="0EA56C99" w14:textId="77777777" w:rsidR="009F2C10" w:rsidRPr="008D6AC4" w:rsidRDefault="6B0FBA72" w:rsidP="00F8351F">
      <w:pPr>
        <w:pStyle w:val="ListParagraph"/>
        <w:numPr>
          <w:ilvl w:val="0"/>
          <w:numId w:val="11"/>
        </w:numPr>
        <w:spacing w:before="0" w:after="160" w:line="259" w:lineRule="auto"/>
        <w:jc w:val="both"/>
        <w:rPr>
          <w:rFonts w:ascii="Verdana" w:hAnsi="Verdana"/>
          <w:sz w:val="22"/>
          <w:szCs w:val="22"/>
        </w:rPr>
      </w:pPr>
      <w:r w:rsidRPr="008D6AC4">
        <w:rPr>
          <w:rFonts w:ascii="Verdana" w:hAnsi="Verdana"/>
          <w:sz w:val="22"/>
          <w:szCs w:val="22"/>
        </w:rPr>
        <w:t>Increase testing coverage given the marked drop in coverage from pre-pandemic levels</w:t>
      </w:r>
      <w:r w:rsidR="6E207DC1" w:rsidRPr="008D6AC4">
        <w:rPr>
          <w:rFonts w:ascii="Verdana" w:hAnsi="Verdana"/>
          <w:sz w:val="22"/>
          <w:szCs w:val="22"/>
        </w:rPr>
        <w:t>,</w:t>
      </w:r>
      <w:r w:rsidR="6E207DC1" w:rsidRPr="008D6AC4">
        <w:rPr>
          <w:rFonts w:ascii="Verdana" w:eastAsia="Times New Roman" w:hAnsi="Verdana" w:cs="Calibri"/>
          <w:color w:val="000000" w:themeColor="text1"/>
          <w:sz w:val="22"/>
          <w:szCs w:val="22"/>
        </w:rPr>
        <w:t xml:space="preserve"> including via supporting promotional campaigns</w:t>
      </w:r>
      <w:r w:rsidRPr="008D6AC4">
        <w:rPr>
          <w:rFonts w:ascii="Verdana" w:hAnsi="Verdana"/>
          <w:sz w:val="22"/>
          <w:szCs w:val="22"/>
        </w:rPr>
        <w:t>.</w:t>
      </w:r>
    </w:p>
    <w:p w14:paraId="7B43D03E" w14:textId="77777777" w:rsidR="0011787F" w:rsidRPr="008D6AC4" w:rsidRDefault="19062D72" w:rsidP="136F3BEB">
      <w:pPr>
        <w:pStyle w:val="Heading2"/>
        <w:numPr>
          <w:ilvl w:val="0"/>
          <w:numId w:val="0"/>
        </w:numPr>
        <w:rPr>
          <w:rFonts w:ascii="Verdana" w:eastAsiaTheme="minorEastAsia" w:hAnsi="Verdana" w:cstheme="minorBidi"/>
          <w:sz w:val="24"/>
          <w:szCs w:val="24"/>
        </w:rPr>
      </w:pPr>
      <w:bookmarkStart w:id="56" w:name="_Toc1573694923"/>
      <w:r w:rsidRPr="136F3BEB">
        <w:rPr>
          <w:rFonts w:ascii="Verdana" w:eastAsiaTheme="minorEastAsia" w:hAnsi="Verdana" w:cstheme="minorBidi"/>
          <w:sz w:val="24"/>
          <w:szCs w:val="24"/>
        </w:rPr>
        <w:t xml:space="preserve">5.4 </w:t>
      </w:r>
      <w:r w:rsidR="2445C4E4" w:rsidRPr="136F3BEB">
        <w:rPr>
          <w:rFonts w:ascii="Verdana" w:eastAsiaTheme="minorEastAsia" w:hAnsi="Verdana" w:cstheme="minorBidi"/>
          <w:sz w:val="24"/>
          <w:szCs w:val="24"/>
        </w:rPr>
        <w:t>Online STI Testing</w:t>
      </w:r>
      <w:bookmarkEnd w:id="56"/>
    </w:p>
    <w:p w14:paraId="7398D03C" w14:textId="77777777" w:rsidR="0011787F" w:rsidRPr="008D6AC4" w:rsidRDefault="0011787F" w:rsidP="0011787F">
      <w:pPr>
        <w:jc w:val="both"/>
        <w:rPr>
          <w:rFonts w:ascii="Verdana" w:hAnsi="Verdana"/>
          <w:sz w:val="22"/>
          <w:szCs w:val="22"/>
        </w:rPr>
      </w:pPr>
      <w:r w:rsidRPr="008D6AC4">
        <w:rPr>
          <w:rFonts w:ascii="Verdana" w:hAnsi="Verdana"/>
          <w:sz w:val="22"/>
          <w:szCs w:val="22"/>
        </w:rPr>
        <w:t xml:space="preserve">The online STI testing service is provided by MTW who subcontract the service to Preventx which provides the online service via SH.UK. The service is integrated with the MTW E-Bureau, with administration and clinical staff available to contact patients with positive test results for further management. They can refer </w:t>
      </w:r>
      <w:r w:rsidRPr="008D6AC4">
        <w:rPr>
          <w:rFonts w:ascii="Verdana" w:hAnsi="Verdana"/>
          <w:sz w:val="22"/>
          <w:szCs w:val="22"/>
        </w:rPr>
        <w:lastRenderedPageBreak/>
        <w:t xml:space="preserve">patients to the ISH services provided by both MTW and KCHFT, despite the online STI testing service being provided by MTW. The service is also linked to the KCHFT provided pharmacy service for chlamydia treatment, by providing a code to the patient to pick up treatment from a pharmacy. </w:t>
      </w:r>
    </w:p>
    <w:p w14:paraId="4879756C" w14:textId="77777777" w:rsidR="0011787F" w:rsidRPr="008D6AC4" w:rsidRDefault="0011787F" w:rsidP="0011787F">
      <w:pPr>
        <w:jc w:val="both"/>
        <w:rPr>
          <w:rFonts w:ascii="Verdana" w:hAnsi="Verdana"/>
          <w:sz w:val="22"/>
          <w:szCs w:val="22"/>
        </w:rPr>
      </w:pPr>
      <w:r w:rsidRPr="008D6AC4">
        <w:rPr>
          <w:rFonts w:ascii="Verdana" w:hAnsi="Verdana"/>
          <w:sz w:val="22"/>
          <w:szCs w:val="22"/>
        </w:rPr>
        <w:t xml:space="preserve">Online STI testing is available for HIV, syphilis, hepatitis B and C, chlamydia, gonorrhoea and trichomonas vaginalis (TV). TV testing was introduced as a trial in 2021/22 and has now been integrated into the </w:t>
      </w:r>
      <w:r w:rsidR="00781E5A">
        <w:rPr>
          <w:rFonts w:ascii="Verdana" w:hAnsi="Verdana"/>
          <w:sz w:val="22"/>
          <w:szCs w:val="22"/>
        </w:rPr>
        <w:t>online</w:t>
      </w:r>
      <w:r w:rsidRPr="008D6AC4">
        <w:rPr>
          <w:rFonts w:ascii="Verdana" w:hAnsi="Verdana"/>
          <w:sz w:val="22"/>
          <w:szCs w:val="22"/>
        </w:rPr>
        <w:t xml:space="preserve"> service.</w:t>
      </w:r>
    </w:p>
    <w:p w14:paraId="769A922A" w14:textId="77777777" w:rsidR="0011787F" w:rsidRPr="008D6AC4" w:rsidRDefault="0011787F" w:rsidP="0011787F">
      <w:pPr>
        <w:jc w:val="both"/>
        <w:rPr>
          <w:rFonts w:ascii="Verdana" w:hAnsi="Verdana"/>
          <w:sz w:val="22"/>
          <w:szCs w:val="22"/>
        </w:rPr>
      </w:pPr>
      <w:r w:rsidRPr="008D6AC4">
        <w:rPr>
          <w:rFonts w:ascii="Verdana" w:hAnsi="Verdana"/>
          <w:sz w:val="22"/>
          <w:szCs w:val="22"/>
        </w:rPr>
        <w:t>The service aims to maximise equitable access to STI testing across Kent, reducing the need for patients to travel to a clinic site. There may be potential inequalities in access however for those with poor internet connection, or those without a smart device or access to one. A map of wired broadband speeds in 2022 suggests East Kent and Canterbury have slower broadband speeds than other areas of Kent, but this does not account for internet access via smart phones and does not consider those without access to the internet or a smart phone. People without a fixed address may also face difficulties using the service, given it relies on the posting of testing kits to a home address. The service also relies on the Royal Mail delivery service to distribute and receive test samples, so is vulnerable to strikes and changes to their service.</w:t>
      </w:r>
    </w:p>
    <w:p w14:paraId="22E63E9C" w14:textId="77777777" w:rsidR="0011787F" w:rsidRPr="008D6AC4" w:rsidRDefault="0011787F" w:rsidP="00EE13AC">
      <w:pPr>
        <w:jc w:val="both"/>
        <w:rPr>
          <w:rFonts w:ascii="Verdana" w:hAnsi="Verdana"/>
          <w:sz w:val="22"/>
          <w:szCs w:val="22"/>
        </w:rPr>
      </w:pPr>
      <w:r w:rsidRPr="008D6AC4">
        <w:rPr>
          <w:rFonts w:ascii="Verdana" w:hAnsi="Verdana"/>
          <w:sz w:val="22"/>
          <w:szCs w:val="22"/>
        </w:rPr>
        <w:t>Patients access the service via the Kent sexual health matters website, which can also be accessed via the kent.gov.uk/sexual health</w:t>
      </w:r>
      <w:r w:rsidR="002830DC" w:rsidRPr="008D6AC4">
        <w:rPr>
          <w:rFonts w:ascii="Verdana" w:hAnsi="Verdana"/>
          <w:sz w:val="22"/>
          <w:szCs w:val="22"/>
        </w:rPr>
        <w:t xml:space="preserve"> </w:t>
      </w:r>
      <w:r w:rsidRPr="008D6AC4">
        <w:rPr>
          <w:rFonts w:ascii="Verdana" w:hAnsi="Verdana"/>
          <w:sz w:val="22"/>
          <w:szCs w:val="22"/>
        </w:rPr>
        <w:t>website. A digital consultation checks the user has an address within Kent and asks a range of detailed sexual health questions. They will then be either offered a STI test that is posted to them or advised to urgently attend a sexual health clinic or A&amp;E, depending on their consultation answers.</w:t>
      </w:r>
      <w:r w:rsidR="007B1C4E" w:rsidRPr="008D6AC4">
        <w:rPr>
          <w:rFonts w:ascii="Verdana" w:hAnsi="Verdana"/>
          <w:sz w:val="22"/>
          <w:szCs w:val="22"/>
        </w:rPr>
        <w:t xml:space="preserve"> </w:t>
      </w:r>
      <w:r w:rsidRPr="008D6AC4">
        <w:rPr>
          <w:rFonts w:ascii="Verdana" w:hAnsi="Verdana"/>
          <w:sz w:val="22"/>
          <w:szCs w:val="22"/>
        </w:rPr>
        <w:t xml:space="preserve">Postage for returning testing kits is pre-paid and average return times for tests are 13.2 days. </w:t>
      </w:r>
      <w:r w:rsidR="00EE13AC">
        <w:rPr>
          <w:rFonts w:ascii="Verdana" w:hAnsi="Verdana"/>
          <w:sz w:val="22"/>
          <w:szCs w:val="22"/>
        </w:rPr>
        <w:t>Where online</w:t>
      </w:r>
      <w:r w:rsidR="00EE13AC" w:rsidRPr="00EE13AC">
        <w:rPr>
          <w:rFonts w:ascii="Verdana" w:hAnsi="Verdana"/>
          <w:sz w:val="22"/>
          <w:szCs w:val="22"/>
        </w:rPr>
        <w:t xml:space="preserve"> STI testing </w:t>
      </w:r>
      <w:r w:rsidR="00EE13AC">
        <w:rPr>
          <w:rFonts w:ascii="Verdana" w:hAnsi="Verdana"/>
          <w:sz w:val="22"/>
          <w:szCs w:val="22"/>
        </w:rPr>
        <w:t xml:space="preserve">is not available to persons under the age of 16 due to safeguarding reasons, and so they would be seen in the appropriate clinic instead. Where in the data below there is reference to under 16s therefore it relates to requests made rather than testing provided through the online service. </w:t>
      </w:r>
    </w:p>
    <w:p w14:paraId="75FCA921" w14:textId="77777777" w:rsidR="0011787F" w:rsidRPr="008D6AC4" w:rsidRDefault="0011787F" w:rsidP="0011787F">
      <w:pPr>
        <w:jc w:val="both"/>
        <w:rPr>
          <w:rFonts w:ascii="Verdana" w:hAnsi="Verdana"/>
          <w:sz w:val="22"/>
          <w:szCs w:val="22"/>
        </w:rPr>
      </w:pPr>
      <w:r w:rsidRPr="008D6AC4">
        <w:rPr>
          <w:rFonts w:ascii="Verdana" w:hAnsi="Verdana"/>
          <w:sz w:val="22"/>
          <w:szCs w:val="22"/>
        </w:rPr>
        <w:t>Results are shared with the patient and with the MTW E-Bureau team who will contact patients with positive results, to provide next steps. They may be directed to a sexual health clinic for further management or signposted to a nearby pharmacy for treatment. The E-Bureau team will also support with partner notification to advise partners on the appropriate course of action to minimise onward transmission. If someone under the age of 16 attempts to access the service, they will be contacted by the MTW team to make sure any safeguarding measures are taken as needed.</w:t>
      </w:r>
    </w:p>
    <w:p w14:paraId="78F15B9C" w14:textId="77777777" w:rsidR="0011787F" w:rsidRPr="008D6AC4" w:rsidRDefault="0011787F" w:rsidP="0011787F">
      <w:pPr>
        <w:jc w:val="both"/>
        <w:rPr>
          <w:rFonts w:ascii="Verdana" w:hAnsi="Verdana"/>
          <w:sz w:val="22"/>
          <w:szCs w:val="22"/>
        </w:rPr>
      </w:pPr>
      <w:r w:rsidRPr="008D6AC4">
        <w:rPr>
          <w:rFonts w:ascii="Verdana" w:hAnsi="Verdana"/>
          <w:sz w:val="22"/>
          <w:szCs w:val="22"/>
        </w:rPr>
        <w:t xml:space="preserve">The service offers STI testing for both symptomatic and asymptomatic people, with symptomatic testing being added to the service in 2020 to minimise face-to-face contact and demand on ISH clinics during the COVID-19 pandemic. Between Q1 2020/21 and Q2 2022/23 the total number of test orders per quarter increased from 6,606 to 13,172, an almost 100% increase. As a result, capacity within the E-Bureau team was affected by this change leading to an </w:t>
      </w:r>
      <w:r w:rsidRPr="008D6AC4">
        <w:rPr>
          <w:rFonts w:ascii="Verdana" w:hAnsi="Verdana"/>
          <w:sz w:val="22"/>
          <w:szCs w:val="22"/>
        </w:rPr>
        <w:lastRenderedPageBreak/>
        <w:t xml:space="preserve">increased budget for additional staff, and an overall increasing budget for the online STI testing service. </w:t>
      </w:r>
    </w:p>
    <w:p w14:paraId="5E545CFE" w14:textId="77777777" w:rsidR="0011787F" w:rsidRPr="008D6AC4" w:rsidRDefault="3F3D0F0E" w:rsidP="0011787F">
      <w:pPr>
        <w:jc w:val="both"/>
        <w:rPr>
          <w:rFonts w:ascii="Verdana" w:hAnsi="Verdana"/>
          <w:sz w:val="22"/>
          <w:szCs w:val="22"/>
        </w:rPr>
      </w:pPr>
      <w:r w:rsidRPr="136F3BEB">
        <w:rPr>
          <w:rFonts w:ascii="Verdana" w:hAnsi="Verdana"/>
          <w:sz w:val="22"/>
          <w:szCs w:val="22"/>
        </w:rPr>
        <w:t xml:space="preserve">Despite increasing numbers using the online STI testing service, there still remains a high demand on sexual health service appointments with only a slight decrease in the number of appointments taking place each month </w:t>
      </w:r>
      <w:r w:rsidRPr="136F3BEB">
        <w:rPr>
          <w:rFonts w:ascii="Verdana" w:hAnsi="Verdana"/>
          <w:b/>
          <w:bCs/>
          <w:sz w:val="22"/>
          <w:szCs w:val="22"/>
        </w:rPr>
        <w:t>(</w:t>
      </w:r>
      <w:r w:rsidR="54625297" w:rsidRPr="136F3BEB">
        <w:rPr>
          <w:rFonts w:ascii="Verdana" w:hAnsi="Verdana"/>
          <w:b/>
          <w:bCs/>
          <w:sz w:val="22"/>
          <w:szCs w:val="22"/>
        </w:rPr>
        <w:t>F</w:t>
      </w:r>
      <w:r w:rsidRPr="136F3BEB">
        <w:rPr>
          <w:rFonts w:ascii="Verdana" w:hAnsi="Verdana"/>
          <w:b/>
          <w:bCs/>
          <w:sz w:val="22"/>
          <w:szCs w:val="22"/>
        </w:rPr>
        <w:t>igure 1</w:t>
      </w:r>
      <w:r w:rsidR="54EC99C8" w:rsidRPr="136F3BEB">
        <w:rPr>
          <w:rFonts w:ascii="Verdana" w:hAnsi="Verdana"/>
          <w:b/>
          <w:bCs/>
          <w:sz w:val="22"/>
          <w:szCs w:val="22"/>
        </w:rPr>
        <w:t>5</w:t>
      </w:r>
      <w:r w:rsidRPr="136F3BEB">
        <w:rPr>
          <w:rFonts w:ascii="Verdana" w:hAnsi="Verdana"/>
          <w:b/>
          <w:bCs/>
          <w:sz w:val="22"/>
          <w:szCs w:val="22"/>
        </w:rPr>
        <w:t>)</w:t>
      </w:r>
      <w:r w:rsidRPr="136F3BEB">
        <w:rPr>
          <w:rFonts w:ascii="Verdana" w:hAnsi="Verdana"/>
          <w:sz w:val="22"/>
          <w:szCs w:val="22"/>
        </w:rPr>
        <w:t>. Increasing use of the online testing service does not appear to have dramatically reduced appointments required in the sexual health clinics.</w:t>
      </w:r>
      <w:r w:rsidR="6CC3C382" w:rsidRPr="136F3BEB">
        <w:rPr>
          <w:rFonts w:ascii="Verdana" w:hAnsi="Verdana"/>
          <w:sz w:val="22"/>
          <w:szCs w:val="22"/>
        </w:rPr>
        <w:t xml:space="preserve"> It isn’t possible from the data available to determine the reasons for each appointment, but it is thought </w:t>
      </w:r>
      <w:r w:rsidR="61109439" w:rsidRPr="136F3BEB">
        <w:rPr>
          <w:rFonts w:ascii="Verdana" w:hAnsi="Verdana"/>
          <w:sz w:val="22"/>
          <w:szCs w:val="22"/>
        </w:rPr>
        <w:t xml:space="preserve">that this may be due to either triaging of telephone contacts increasing, and results from online testing being discussed. Further investigation can be done to explore this in more depth. </w:t>
      </w:r>
    </w:p>
    <w:p w14:paraId="658056B6" w14:textId="5F6D53F2" w:rsidR="0011787F" w:rsidRPr="008D6AC4" w:rsidRDefault="22065E35" w:rsidP="0011787F">
      <w:pPr>
        <w:rPr>
          <w:rFonts w:ascii="Verdana" w:hAnsi="Verdana"/>
          <w:sz w:val="22"/>
          <w:szCs w:val="22"/>
        </w:rPr>
      </w:pPr>
      <w:r w:rsidRPr="136F3BEB">
        <w:rPr>
          <w:rFonts w:ascii="Verdana" w:hAnsi="Verdana"/>
          <w:b/>
          <w:bCs/>
          <w:sz w:val="22"/>
          <w:szCs w:val="22"/>
        </w:rPr>
        <w:t>Figure 1</w:t>
      </w:r>
      <w:r w:rsidR="6D5E76FE" w:rsidRPr="136F3BEB">
        <w:rPr>
          <w:rFonts w:ascii="Verdana" w:hAnsi="Verdana"/>
          <w:b/>
          <w:bCs/>
          <w:sz w:val="22"/>
          <w:szCs w:val="22"/>
        </w:rPr>
        <w:t>5</w:t>
      </w:r>
      <w:r w:rsidRPr="136F3BEB">
        <w:rPr>
          <w:rFonts w:ascii="Verdana" w:hAnsi="Verdana"/>
          <w:b/>
          <w:bCs/>
          <w:sz w:val="22"/>
          <w:szCs w:val="22"/>
        </w:rPr>
        <w:t>: Number of appointments in the integrated sexual health clinics and number of online STI testing kits ordered, per month, from April 20</w:t>
      </w:r>
      <w:r w:rsidR="00121328">
        <w:rPr>
          <w:rFonts w:ascii="Verdana" w:hAnsi="Verdana"/>
          <w:b/>
          <w:bCs/>
          <w:sz w:val="22"/>
          <w:szCs w:val="22"/>
        </w:rPr>
        <w:t>19</w:t>
      </w:r>
      <w:r w:rsidRPr="136F3BEB">
        <w:rPr>
          <w:rFonts w:ascii="Verdana" w:hAnsi="Verdana"/>
          <w:b/>
          <w:bCs/>
          <w:sz w:val="22"/>
          <w:szCs w:val="22"/>
        </w:rPr>
        <w:t xml:space="preserve"> to </w:t>
      </w:r>
      <w:r w:rsidR="00121328">
        <w:rPr>
          <w:rFonts w:ascii="Verdana" w:hAnsi="Verdana"/>
          <w:b/>
          <w:bCs/>
          <w:sz w:val="22"/>
          <w:szCs w:val="22"/>
        </w:rPr>
        <w:t>February</w:t>
      </w:r>
      <w:r w:rsidRPr="136F3BEB">
        <w:rPr>
          <w:rFonts w:ascii="Verdana" w:hAnsi="Verdana"/>
          <w:b/>
          <w:bCs/>
          <w:sz w:val="22"/>
          <w:szCs w:val="22"/>
        </w:rPr>
        <w:t xml:space="preserve"> 202</w:t>
      </w:r>
      <w:r w:rsidR="00121328">
        <w:rPr>
          <w:rFonts w:ascii="Verdana" w:hAnsi="Verdana"/>
          <w:b/>
          <w:bCs/>
          <w:sz w:val="22"/>
          <w:szCs w:val="22"/>
        </w:rPr>
        <w:t>4</w:t>
      </w:r>
    </w:p>
    <w:p w14:paraId="078B672D" w14:textId="2132AB47" w:rsidR="0011787F" w:rsidRPr="008D6AC4" w:rsidRDefault="00121328" w:rsidP="0011787F">
      <w:pPr>
        <w:rPr>
          <w:rFonts w:ascii="Verdana" w:hAnsi="Verdana"/>
          <w:sz w:val="22"/>
          <w:szCs w:val="22"/>
        </w:rPr>
      </w:pPr>
      <w:r w:rsidRPr="00561FC0">
        <w:rPr>
          <w:rFonts w:asciiTheme="minorBidi" w:hAnsiTheme="minorBidi" w:cstheme="minorBidi"/>
          <w:noProof/>
        </w:rPr>
        <w:drawing>
          <wp:inline distT="0" distB="0" distL="0" distR="0" wp14:anchorId="2FE1760C" wp14:editId="77B5C004">
            <wp:extent cx="5710902" cy="3115037"/>
            <wp:effectExtent l="0" t="0" r="4445" b="9525"/>
            <wp:docPr id="1003426425" name="Picture 1003426425" descr="Monthly trend in number of integrated sexual health clinic appointments and number of STI testing kits ordered between April 2019 and February 2024. Until 2022, there was a reduction in appointments and an increase in testing kits ordered, Since then, both have remained stable at around 4,000 kits and 5,000 appointments per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26425" name="Picture 1003426425" descr="Monthly trend in number of integrated sexual health clinic appointments and number of STI testing kits ordered between April 2019 and February 2024. Until 2022, there was a reduction in appointments and an increase in testing kits ordered, Since then, both have remained stable at around 4,000 kits and 5,000 appointments per month."/>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10902" cy="3115037"/>
                    </a:xfrm>
                    <a:prstGeom prst="rect">
                      <a:avLst/>
                    </a:prstGeom>
                    <a:ln>
                      <a:noFill/>
                    </a:ln>
                  </pic:spPr>
                </pic:pic>
              </a:graphicData>
            </a:graphic>
          </wp:inline>
        </w:drawing>
      </w:r>
    </w:p>
    <w:p w14:paraId="0A01E1C6" w14:textId="77777777" w:rsidR="0011787F" w:rsidRPr="008D6AC4" w:rsidRDefault="4CE9E93A" w:rsidP="0011787F">
      <w:pPr>
        <w:jc w:val="both"/>
        <w:rPr>
          <w:rFonts w:ascii="Verdana" w:hAnsi="Verdana"/>
          <w:sz w:val="22"/>
          <w:szCs w:val="22"/>
        </w:rPr>
      </w:pPr>
      <w:r w:rsidRPr="008D6AC4">
        <w:rPr>
          <w:rFonts w:ascii="Verdana" w:hAnsi="Verdana"/>
          <w:sz w:val="22"/>
          <w:szCs w:val="22"/>
        </w:rPr>
        <w:t xml:space="preserve">Between Q1 2020/21 and November 2022 there were 112,438 STI tests ordered. Of these, 71.9% were from asymptomatic patients, 21.2% from symptomatic patients and 6.9% were </w:t>
      </w:r>
      <w:r w:rsidR="00DF6CF1">
        <w:rPr>
          <w:rFonts w:ascii="Verdana" w:hAnsi="Verdana"/>
          <w:sz w:val="22"/>
          <w:szCs w:val="22"/>
        </w:rPr>
        <w:t xml:space="preserve">online orders that were </w:t>
      </w:r>
      <w:r w:rsidRPr="008D6AC4">
        <w:rPr>
          <w:rFonts w:ascii="Verdana" w:hAnsi="Verdana"/>
          <w:sz w:val="22"/>
          <w:szCs w:val="22"/>
        </w:rPr>
        <w:t xml:space="preserve">sent direct from the Integrated Sexual Health service. Of the total number of orders, 48% were by </w:t>
      </w:r>
      <w:r w:rsidR="36717174" w:rsidRPr="008D6AC4">
        <w:rPr>
          <w:rFonts w:ascii="Verdana" w:hAnsi="Verdana"/>
          <w:sz w:val="22"/>
          <w:szCs w:val="22"/>
        </w:rPr>
        <w:t>16–25-year-olds</w:t>
      </w:r>
      <w:r w:rsidRPr="008D6AC4">
        <w:rPr>
          <w:rFonts w:ascii="Verdana" w:hAnsi="Verdana"/>
          <w:sz w:val="22"/>
          <w:szCs w:val="22"/>
        </w:rPr>
        <w:t>. The majority were ordered by people identifying as straight (84.9%), with a greater proportion of tests being ordered by those identifying as gay and bisexual than seen in the UK census data (3% of the population). People of a White British ethnicity made up 81.3% of the orders, with those of Bangladeshi, Chinese, Latin American and Pakistani ethnicities each representing less than 0.5% of the total orders.</w:t>
      </w:r>
    </w:p>
    <w:p w14:paraId="053F13CB" w14:textId="77777777" w:rsidR="0011787F" w:rsidRPr="008D6AC4" w:rsidRDefault="22065E35" w:rsidP="0011787F">
      <w:pPr>
        <w:jc w:val="both"/>
        <w:rPr>
          <w:rFonts w:ascii="Verdana" w:hAnsi="Verdana"/>
          <w:sz w:val="22"/>
          <w:szCs w:val="22"/>
        </w:rPr>
      </w:pPr>
      <w:r w:rsidRPr="136F3BEB">
        <w:rPr>
          <w:rFonts w:ascii="Verdana" w:hAnsi="Verdana"/>
          <w:sz w:val="22"/>
          <w:szCs w:val="22"/>
        </w:rPr>
        <w:t xml:space="preserve">The testing service identified 6,397 STIs between Q1 of 2020 and November 2022 </w:t>
      </w:r>
      <w:r w:rsidRPr="136F3BEB">
        <w:rPr>
          <w:rFonts w:ascii="Verdana" w:hAnsi="Verdana"/>
          <w:b/>
          <w:bCs/>
          <w:sz w:val="22"/>
          <w:szCs w:val="22"/>
        </w:rPr>
        <w:t xml:space="preserve">(Table </w:t>
      </w:r>
      <w:r w:rsidR="64146CF3" w:rsidRPr="136F3BEB">
        <w:rPr>
          <w:rFonts w:ascii="Verdana" w:hAnsi="Verdana"/>
          <w:b/>
          <w:bCs/>
          <w:sz w:val="22"/>
          <w:szCs w:val="22"/>
        </w:rPr>
        <w:t>7</w:t>
      </w:r>
      <w:r w:rsidRPr="136F3BEB">
        <w:rPr>
          <w:rFonts w:ascii="Verdana" w:hAnsi="Verdana"/>
          <w:b/>
          <w:bCs/>
          <w:sz w:val="22"/>
          <w:szCs w:val="22"/>
        </w:rPr>
        <w:t>)</w:t>
      </w:r>
      <w:r w:rsidRPr="136F3BEB">
        <w:rPr>
          <w:rFonts w:ascii="Verdana" w:hAnsi="Verdana"/>
          <w:sz w:val="22"/>
          <w:szCs w:val="22"/>
        </w:rPr>
        <w:t xml:space="preserve"> with the highest positivity proportion in those who were symptomatic.</w:t>
      </w:r>
    </w:p>
    <w:p w14:paraId="5FE70253" w14:textId="77777777" w:rsidR="0011787F" w:rsidRPr="008D6AC4" w:rsidRDefault="0011787F" w:rsidP="0011787F">
      <w:pPr>
        <w:jc w:val="both"/>
        <w:rPr>
          <w:rFonts w:ascii="Verdana" w:hAnsi="Verdana"/>
          <w:sz w:val="22"/>
          <w:szCs w:val="22"/>
        </w:rPr>
      </w:pPr>
      <w:r w:rsidRPr="008D6AC4">
        <w:rPr>
          <w:rFonts w:ascii="Verdana" w:hAnsi="Verdana"/>
          <w:sz w:val="22"/>
          <w:szCs w:val="22"/>
        </w:rPr>
        <w:lastRenderedPageBreak/>
        <w:t xml:space="preserve">Further investigations into the unexpectedly similar proportions of positives between symptomatic and asymptomatic are warranted, equally a deeper dive into the </w:t>
      </w:r>
      <w:r w:rsidR="00DF6CF1">
        <w:rPr>
          <w:rFonts w:ascii="Verdana" w:hAnsi="Verdana"/>
          <w:sz w:val="22"/>
          <w:szCs w:val="22"/>
        </w:rPr>
        <w:t>online ordering</w:t>
      </w:r>
      <w:r w:rsidRPr="008D6AC4">
        <w:rPr>
          <w:rFonts w:ascii="Verdana" w:hAnsi="Verdana"/>
          <w:sz w:val="22"/>
          <w:szCs w:val="22"/>
        </w:rPr>
        <w:t xml:space="preserve"> process and justification. </w:t>
      </w:r>
    </w:p>
    <w:p w14:paraId="3C51111B" w14:textId="77777777" w:rsidR="0011787F" w:rsidRPr="008D6AC4" w:rsidRDefault="22065E35" w:rsidP="0011787F">
      <w:pPr>
        <w:rPr>
          <w:rFonts w:ascii="Verdana" w:hAnsi="Verdana"/>
          <w:sz w:val="22"/>
          <w:szCs w:val="22"/>
        </w:rPr>
      </w:pPr>
      <w:r w:rsidRPr="136F3BEB">
        <w:rPr>
          <w:rFonts w:ascii="Verdana" w:hAnsi="Verdana"/>
          <w:b/>
          <w:bCs/>
          <w:sz w:val="22"/>
          <w:szCs w:val="22"/>
        </w:rPr>
        <w:t xml:space="preserve">Table </w:t>
      </w:r>
      <w:r w:rsidR="0CD241A6" w:rsidRPr="136F3BEB">
        <w:rPr>
          <w:rFonts w:ascii="Verdana" w:hAnsi="Verdana"/>
          <w:b/>
          <w:bCs/>
          <w:sz w:val="22"/>
          <w:szCs w:val="22"/>
        </w:rPr>
        <w:t>7</w:t>
      </w:r>
      <w:r w:rsidRPr="136F3BEB">
        <w:rPr>
          <w:rFonts w:ascii="Verdana" w:hAnsi="Verdana"/>
          <w:b/>
          <w:bCs/>
          <w:sz w:val="22"/>
          <w:szCs w:val="22"/>
        </w:rPr>
        <w:t>: Number of STIs identified between Q1 of 2020 and November 2022, according to type of STI and presence of symptoms.</w:t>
      </w:r>
    </w:p>
    <w:tbl>
      <w:tblPr>
        <w:tblStyle w:val="TableGrid"/>
        <w:tblW w:w="0" w:type="auto"/>
        <w:tblLayout w:type="fixed"/>
        <w:tblLook w:val="06A0" w:firstRow="1" w:lastRow="0" w:firstColumn="1" w:lastColumn="0" w:noHBand="1" w:noVBand="1"/>
      </w:tblPr>
      <w:tblGrid>
        <w:gridCol w:w="2925"/>
        <w:gridCol w:w="2119"/>
        <w:gridCol w:w="2089"/>
        <w:gridCol w:w="1882"/>
      </w:tblGrid>
      <w:tr w:rsidR="0011787F" w:rsidRPr="008D6AC4" w14:paraId="65D6EBC7" w14:textId="77777777" w:rsidTr="007443FF">
        <w:trPr>
          <w:trHeight w:val="300"/>
        </w:trPr>
        <w:tc>
          <w:tcPr>
            <w:tcW w:w="2925" w:type="dxa"/>
            <w:shd w:val="clear" w:color="auto" w:fill="DDF1F3"/>
          </w:tcPr>
          <w:p w14:paraId="0D0A0251" w14:textId="7E5DCC4F" w:rsidR="0011787F" w:rsidRPr="00367F89" w:rsidRDefault="00367F89" w:rsidP="003B1CE3">
            <w:pPr>
              <w:rPr>
                <w:rFonts w:ascii="Verdana" w:hAnsi="Verdana"/>
                <w:b/>
                <w:bCs/>
                <w:sz w:val="22"/>
                <w:szCs w:val="22"/>
              </w:rPr>
            </w:pPr>
            <w:r w:rsidRPr="00367F89">
              <w:rPr>
                <w:rFonts w:ascii="Verdana" w:hAnsi="Verdana"/>
                <w:b/>
                <w:bCs/>
                <w:sz w:val="22"/>
                <w:szCs w:val="22"/>
              </w:rPr>
              <w:t>STI</w:t>
            </w:r>
          </w:p>
        </w:tc>
        <w:tc>
          <w:tcPr>
            <w:tcW w:w="2119" w:type="dxa"/>
            <w:shd w:val="clear" w:color="auto" w:fill="DDF1F3"/>
          </w:tcPr>
          <w:p w14:paraId="5407982B" w14:textId="77777777" w:rsidR="0011787F" w:rsidRPr="008D6AC4" w:rsidRDefault="0011787F" w:rsidP="003B1CE3">
            <w:pPr>
              <w:rPr>
                <w:rFonts w:ascii="Verdana" w:hAnsi="Verdana"/>
                <w:b/>
                <w:sz w:val="22"/>
                <w:szCs w:val="22"/>
              </w:rPr>
            </w:pPr>
            <w:r w:rsidRPr="008D6AC4">
              <w:rPr>
                <w:rFonts w:ascii="Verdana" w:hAnsi="Verdana"/>
                <w:b/>
                <w:sz w:val="22"/>
                <w:szCs w:val="22"/>
              </w:rPr>
              <w:t>Asymptomatic</w:t>
            </w:r>
          </w:p>
        </w:tc>
        <w:tc>
          <w:tcPr>
            <w:tcW w:w="2089" w:type="dxa"/>
            <w:shd w:val="clear" w:color="auto" w:fill="DDF1F3"/>
          </w:tcPr>
          <w:p w14:paraId="4265930C" w14:textId="77777777" w:rsidR="0011787F" w:rsidRPr="008D6AC4" w:rsidRDefault="0011787F" w:rsidP="003B1CE3">
            <w:pPr>
              <w:rPr>
                <w:rFonts w:ascii="Verdana" w:hAnsi="Verdana"/>
                <w:b/>
                <w:sz w:val="22"/>
                <w:szCs w:val="22"/>
              </w:rPr>
            </w:pPr>
            <w:r w:rsidRPr="008D6AC4">
              <w:rPr>
                <w:rFonts w:ascii="Verdana" w:hAnsi="Verdana"/>
                <w:b/>
                <w:sz w:val="22"/>
                <w:szCs w:val="22"/>
              </w:rPr>
              <w:t>Symptomatic</w:t>
            </w:r>
          </w:p>
        </w:tc>
        <w:tc>
          <w:tcPr>
            <w:tcW w:w="1882" w:type="dxa"/>
            <w:shd w:val="clear" w:color="auto" w:fill="DDF1F3"/>
          </w:tcPr>
          <w:p w14:paraId="4DC6FCA4" w14:textId="77777777" w:rsidR="0011787F" w:rsidRPr="008D6AC4" w:rsidRDefault="00DF6CF1" w:rsidP="003B1CE3">
            <w:pPr>
              <w:rPr>
                <w:rFonts w:ascii="Verdana" w:hAnsi="Verdana"/>
                <w:b/>
                <w:sz w:val="22"/>
                <w:szCs w:val="22"/>
              </w:rPr>
            </w:pPr>
            <w:r>
              <w:rPr>
                <w:rFonts w:ascii="Verdana" w:hAnsi="Verdana"/>
                <w:b/>
                <w:sz w:val="22"/>
                <w:szCs w:val="22"/>
              </w:rPr>
              <w:t>Online</w:t>
            </w:r>
            <w:r w:rsidR="0011787F" w:rsidRPr="008D6AC4">
              <w:rPr>
                <w:rFonts w:ascii="Verdana" w:hAnsi="Verdana"/>
                <w:b/>
                <w:sz w:val="22"/>
                <w:szCs w:val="22"/>
              </w:rPr>
              <w:t xml:space="preserve"> Order</w:t>
            </w:r>
          </w:p>
        </w:tc>
      </w:tr>
      <w:tr w:rsidR="0011787F" w:rsidRPr="008D6AC4" w14:paraId="3F49AC4E" w14:textId="77777777" w:rsidTr="0E4D9769">
        <w:trPr>
          <w:trHeight w:val="300"/>
        </w:trPr>
        <w:tc>
          <w:tcPr>
            <w:tcW w:w="2925" w:type="dxa"/>
          </w:tcPr>
          <w:p w14:paraId="01202716" w14:textId="77777777" w:rsidR="0011787F" w:rsidRPr="008D6AC4" w:rsidRDefault="0011787F" w:rsidP="003B1CE3">
            <w:pPr>
              <w:rPr>
                <w:rFonts w:ascii="Verdana" w:hAnsi="Verdana"/>
                <w:bCs/>
                <w:sz w:val="22"/>
                <w:szCs w:val="22"/>
              </w:rPr>
            </w:pPr>
            <w:r w:rsidRPr="008D6AC4">
              <w:rPr>
                <w:rFonts w:ascii="Verdana" w:hAnsi="Verdana"/>
                <w:bCs/>
                <w:sz w:val="22"/>
                <w:szCs w:val="22"/>
              </w:rPr>
              <w:t>Chlamydia</w:t>
            </w:r>
          </w:p>
        </w:tc>
        <w:tc>
          <w:tcPr>
            <w:tcW w:w="2119" w:type="dxa"/>
          </w:tcPr>
          <w:p w14:paraId="498818C9" w14:textId="77777777" w:rsidR="0011787F" w:rsidRPr="008D6AC4" w:rsidRDefault="0011787F" w:rsidP="003B1CE3">
            <w:pPr>
              <w:rPr>
                <w:rFonts w:ascii="Verdana" w:hAnsi="Verdana"/>
                <w:sz w:val="22"/>
                <w:szCs w:val="22"/>
              </w:rPr>
            </w:pPr>
            <w:r w:rsidRPr="008D6AC4">
              <w:rPr>
                <w:rFonts w:ascii="Verdana" w:hAnsi="Verdana"/>
                <w:sz w:val="22"/>
                <w:szCs w:val="22"/>
              </w:rPr>
              <w:t>3156</w:t>
            </w:r>
          </w:p>
        </w:tc>
        <w:tc>
          <w:tcPr>
            <w:tcW w:w="2089" w:type="dxa"/>
          </w:tcPr>
          <w:p w14:paraId="052BADCB" w14:textId="77777777" w:rsidR="0011787F" w:rsidRPr="008D6AC4" w:rsidRDefault="0011787F" w:rsidP="003B1CE3">
            <w:pPr>
              <w:rPr>
                <w:rFonts w:ascii="Verdana" w:hAnsi="Verdana"/>
                <w:sz w:val="22"/>
                <w:szCs w:val="22"/>
              </w:rPr>
            </w:pPr>
            <w:r w:rsidRPr="008D6AC4">
              <w:rPr>
                <w:rFonts w:ascii="Verdana" w:hAnsi="Verdana"/>
                <w:sz w:val="22"/>
                <w:szCs w:val="22"/>
              </w:rPr>
              <w:t>1265</w:t>
            </w:r>
          </w:p>
        </w:tc>
        <w:tc>
          <w:tcPr>
            <w:tcW w:w="1882" w:type="dxa"/>
          </w:tcPr>
          <w:p w14:paraId="77B6EA5B" w14:textId="77777777" w:rsidR="0011787F" w:rsidRPr="008D6AC4" w:rsidRDefault="0011787F" w:rsidP="003B1CE3">
            <w:pPr>
              <w:rPr>
                <w:rFonts w:ascii="Verdana" w:hAnsi="Verdana"/>
                <w:sz w:val="22"/>
                <w:szCs w:val="22"/>
              </w:rPr>
            </w:pPr>
            <w:r w:rsidRPr="008D6AC4">
              <w:rPr>
                <w:rFonts w:ascii="Verdana" w:hAnsi="Verdana"/>
                <w:sz w:val="22"/>
                <w:szCs w:val="22"/>
              </w:rPr>
              <w:t>339</w:t>
            </w:r>
          </w:p>
        </w:tc>
      </w:tr>
      <w:tr w:rsidR="0011787F" w:rsidRPr="008D6AC4" w14:paraId="7CA17079" w14:textId="77777777" w:rsidTr="0E4D9769">
        <w:trPr>
          <w:trHeight w:val="300"/>
        </w:trPr>
        <w:tc>
          <w:tcPr>
            <w:tcW w:w="2925" w:type="dxa"/>
          </w:tcPr>
          <w:p w14:paraId="086400EF" w14:textId="77777777" w:rsidR="0011787F" w:rsidRPr="008D6AC4" w:rsidRDefault="0011787F" w:rsidP="003B1CE3">
            <w:pPr>
              <w:rPr>
                <w:rFonts w:ascii="Verdana" w:hAnsi="Verdana"/>
                <w:bCs/>
                <w:sz w:val="22"/>
                <w:szCs w:val="22"/>
              </w:rPr>
            </w:pPr>
            <w:r w:rsidRPr="008D6AC4">
              <w:rPr>
                <w:rFonts w:ascii="Verdana" w:hAnsi="Verdana"/>
                <w:bCs/>
                <w:sz w:val="22"/>
                <w:szCs w:val="22"/>
              </w:rPr>
              <w:t>Gonorrhoea</w:t>
            </w:r>
          </w:p>
        </w:tc>
        <w:tc>
          <w:tcPr>
            <w:tcW w:w="2119" w:type="dxa"/>
          </w:tcPr>
          <w:p w14:paraId="7F848712" w14:textId="77777777" w:rsidR="0011787F" w:rsidRPr="008D6AC4" w:rsidRDefault="0011787F" w:rsidP="003B1CE3">
            <w:pPr>
              <w:rPr>
                <w:rFonts w:ascii="Verdana" w:hAnsi="Verdana"/>
                <w:sz w:val="22"/>
                <w:szCs w:val="22"/>
              </w:rPr>
            </w:pPr>
            <w:r w:rsidRPr="008D6AC4">
              <w:rPr>
                <w:rFonts w:ascii="Verdana" w:hAnsi="Verdana"/>
                <w:sz w:val="22"/>
                <w:szCs w:val="22"/>
              </w:rPr>
              <w:t>599</w:t>
            </w:r>
          </w:p>
        </w:tc>
        <w:tc>
          <w:tcPr>
            <w:tcW w:w="2089" w:type="dxa"/>
          </w:tcPr>
          <w:p w14:paraId="1A3EAADD" w14:textId="77777777" w:rsidR="0011787F" w:rsidRPr="008D6AC4" w:rsidRDefault="0011787F" w:rsidP="003B1CE3">
            <w:pPr>
              <w:rPr>
                <w:rFonts w:ascii="Verdana" w:hAnsi="Verdana"/>
                <w:sz w:val="22"/>
                <w:szCs w:val="22"/>
              </w:rPr>
            </w:pPr>
            <w:r w:rsidRPr="008D6AC4">
              <w:rPr>
                <w:rFonts w:ascii="Verdana" w:hAnsi="Verdana"/>
                <w:sz w:val="22"/>
                <w:szCs w:val="22"/>
              </w:rPr>
              <w:t>159</w:t>
            </w:r>
          </w:p>
        </w:tc>
        <w:tc>
          <w:tcPr>
            <w:tcW w:w="1882" w:type="dxa"/>
          </w:tcPr>
          <w:p w14:paraId="712D945C" w14:textId="77777777" w:rsidR="0011787F" w:rsidRPr="008D6AC4" w:rsidRDefault="0011787F" w:rsidP="003B1CE3">
            <w:pPr>
              <w:rPr>
                <w:rFonts w:ascii="Verdana" w:hAnsi="Verdana"/>
                <w:sz w:val="22"/>
                <w:szCs w:val="22"/>
              </w:rPr>
            </w:pPr>
            <w:r w:rsidRPr="008D6AC4">
              <w:rPr>
                <w:rFonts w:ascii="Verdana" w:hAnsi="Verdana"/>
                <w:sz w:val="22"/>
                <w:szCs w:val="22"/>
              </w:rPr>
              <w:t>60</w:t>
            </w:r>
          </w:p>
        </w:tc>
      </w:tr>
      <w:tr w:rsidR="0011787F" w:rsidRPr="008D6AC4" w14:paraId="52D7E677" w14:textId="77777777" w:rsidTr="0E4D9769">
        <w:trPr>
          <w:trHeight w:val="300"/>
        </w:trPr>
        <w:tc>
          <w:tcPr>
            <w:tcW w:w="2925" w:type="dxa"/>
          </w:tcPr>
          <w:p w14:paraId="5864D741" w14:textId="77777777" w:rsidR="0011787F" w:rsidRPr="008D6AC4" w:rsidRDefault="0011787F" w:rsidP="003B1CE3">
            <w:pPr>
              <w:rPr>
                <w:rFonts w:ascii="Verdana" w:hAnsi="Verdana"/>
                <w:bCs/>
                <w:sz w:val="22"/>
                <w:szCs w:val="22"/>
              </w:rPr>
            </w:pPr>
            <w:r w:rsidRPr="008D6AC4">
              <w:rPr>
                <w:rFonts w:ascii="Verdana" w:hAnsi="Verdana"/>
                <w:bCs/>
                <w:sz w:val="22"/>
                <w:szCs w:val="22"/>
              </w:rPr>
              <w:t>HIV</w:t>
            </w:r>
          </w:p>
        </w:tc>
        <w:tc>
          <w:tcPr>
            <w:tcW w:w="2119" w:type="dxa"/>
          </w:tcPr>
          <w:p w14:paraId="2FA2B7D9" w14:textId="77777777" w:rsidR="0011787F" w:rsidRPr="008D6AC4" w:rsidRDefault="0011787F" w:rsidP="003B1CE3">
            <w:pPr>
              <w:rPr>
                <w:rFonts w:ascii="Verdana" w:hAnsi="Verdana"/>
                <w:sz w:val="22"/>
                <w:szCs w:val="22"/>
              </w:rPr>
            </w:pPr>
            <w:r w:rsidRPr="008D6AC4">
              <w:rPr>
                <w:rFonts w:ascii="Verdana" w:hAnsi="Verdana"/>
                <w:sz w:val="22"/>
                <w:szCs w:val="22"/>
              </w:rPr>
              <w:t>204</w:t>
            </w:r>
          </w:p>
        </w:tc>
        <w:tc>
          <w:tcPr>
            <w:tcW w:w="2089" w:type="dxa"/>
          </w:tcPr>
          <w:p w14:paraId="1073D481" w14:textId="77777777" w:rsidR="0011787F" w:rsidRPr="008D6AC4" w:rsidRDefault="0011787F" w:rsidP="003B1CE3">
            <w:pPr>
              <w:rPr>
                <w:rFonts w:ascii="Verdana" w:hAnsi="Verdana"/>
                <w:sz w:val="22"/>
                <w:szCs w:val="22"/>
              </w:rPr>
            </w:pPr>
            <w:r w:rsidRPr="008D6AC4">
              <w:rPr>
                <w:rFonts w:ascii="Verdana" w:hAnsi="Verdana"/>
                <w:sz w:val="22"/>
                <w:szCs w:val="22"/>
              </w:rPr>
              <w:t>159</w:t>
            </w:r>
          </w:p>
        </w:tc>
        <w:tc>
          <w:tcPr>
            <w:tcW w:w="1882" w:type="dxa"/>
          </w:tcPr>
          <w:p w14:paraId="46AC1614" w14:textId="77777777" w:rsidR="0011787F" w:rsidRPr="008D6AC4" w:rsidRDefault="0011787F" w:rsidP="003B1CE3">
            <w:pPr>
              <w:rPr>
                <w:rFonts w:ascii="Verdana" w:hAnsi="Verdana"/>
                <w:sz w:val="22"/>
                <w:szCs w:val="22"/>
              </w:rPr>
            </w:pPr>
            <w:r w:rsidRPr="008D6AC4">
              <w:rPr>
                <w:rFonts w:ascii="Verdana" w:hAnsi="Verdana"/>
                <w:sz w:val="22"/>
                <w:szCs w:val="22"/>
              </w:rPr>
              <w:t>60</w:t>
            </w:r>
          </w:p>
        </w:tc>
      </w:tr>
      <w:tr w:rsidR="0011787F" w:rsidRPr="008D6AC4" w14:paraId="1A6380D3" w14:textId="77777777" w:rsidTr="0E4D9769">
        <w:trPr>
          <w:trHeight w:val="300"/>
        </w:trPr>
        <w:tc>
          <w:tcPr>
            <w:tcW w:w="2925" w:type="dxa"/>
          </w:tcPr>
          <w:p w14:paraId="3FB13DF8" w14:textId="77777777" w:rsidR="0011787F" w:rsidRPr="008D6AC4" w:rsidRDefault="0011787F" w:rsidP="003B1CE3">
            <w:pPr>
              <w:rPr>
                <w:rFonts w:ascii="Verdana" w:hAnsi="Verdana"/>
                <w:bCs/>
                <w:sz w:val="22"/>
                <w:szCs w:val="22"/>
              </w:rPr>
            </w:pPr>
            <w:r w:rsidRPr="008D6AC4">
              <w:rPr>
                <w:rFonts w:ascii="Verdana" w:hAnsi="Verdana"/>
                <w:bCs/>
                <w:sz w:val="22"/>
                <w:szCs w:val="22"/>
              </w:rPr>
              <w:t>Syphilis</w:t>
            </w:r>
          </w:p>
        </w:tc>
        <w:tc>
          <w:tcPr>
            <w:tcW w:w="2119" w:type="dxa"/>
          </w:tcPr>
          <w:p w14:paraId="0DA32BAA" w14:textId="77777777" w:rsidR="0011787F" w:rsidRPr="008D6AC4" w:rsidRDefault="0011787F" w:rsidP="003B1CE3">
            <w:pPr>
              <w:rPr>
                <w:rFonts w:ascii="Verdana" w:hAnsi="Verdana"/>
                <w:sz w:val="22"/>
                <w:szCs w:val="22"/>
              </w:rPr>
            </w:pPr>
            <w:r w:rsidRPr="008D6AC4">
              <w:rPr>
                <w:rFonts w:ascii="Verdana" w:hAnsi="Verdana"/>
                <w:sz w:val="22"/>
                <w:szCs w:val="22"/>
              </w:rPr>
              <w:t>94</w:t>
            </w:r>
          </w:p>
        </w:tc>
        <w:tc>
          <w:tcPr>
            <w:tcW w:w="2089" w:type="dxa"/>
          </w:tcPr>
          <w:p w14:paraId="47CEC0B2" w14:textId="77777777" w:rsidR="0011787F" w:rsidRPr="008D6AC4" w:rsidRDefault="0011787F" w:rsidP="003B1CE3">
            <w:pPr>
              <w:rPr>
                <w:rFonts w:ascii="Verdana" w:hAnsi="Verdana"/>
                <w:sz w:val="22"/>
                <w:szCs w:val="22"/>
              </w:rPr>
            </w:pPr>
            <w:r w:rsidRPr="008D6AC4">
              <w:rPr>
                <w:rFonts w:ascii="Verdana" w:hAnsi="Verdana"/>
                <w:sz w:val="22"/>
                <w:szCs w:val="22"/>
              </w:rPr>
              <w:t>23</w:t>
            </w:r>
          </w:p>
        </w:tc>
        <w:tc>
          <w:tcPr>
            <w:tcW w:w="1882" w:type="dxa"/>
          </w:tcPr>
          <w:p w14:paraId="61C33F62" w14:textId="77777777" w:rsidR="0011787F" w:rsidRPr="008D6AC4" w:rsidRDefault="0011787F" w:rsidP="003B1CE3">
            <w:pPr>
              <w:rPr>
                <w:rFonts w:ascii="Verdana" w:hAnsi="Verdana"/>
                <w:sz w:val="22"/>
                <w:szCs w:val="22"/>
              </w:rPr>
            </w:pPr>
            <w:r w:rsidRPr="008D6AC4">
              <w:rPr>
                <w:rFonts w:ascii="Verdana" w:hAnsi="Verdana"/>
                <w:sz w:val="22"/>
                <w:szCs w:val="22"/>
              </w:rPr>
              <w:t>41</w:t>
            </w:r>
          </w:p>
        </w:tc>
      </w:tr>
      <w:tr w:rsidR="0011787F" w:rsidRPr="008D6AC4" w14:paraId="0FC5D610" w14:textId="77777777" w:rsidTr="0E4D9769">
        <w:trPr>
          <w:trHeight w:val="300"/>
        </w:trPr>
        <w:tc>
          <w:tcPr>
            <w:tcW w:w="2925" w:type="dxa"/>
          </w:tcPr>
          <w:p w14:paraId="7651D98B" w14:textId="77777777" w:rsidR="0011787F" w:rsidRPr="008D6AC4" w:rsidRDefault="0011787F" w:rsidP="003B1CE3">
            <w:pPr>
              <w:rPr>
                <w:rFonts w:ascii="Verdana" w:hAnsi="Verdana"/>
                <w:bCs/>
                <w:sz w:val="22"/>
                <w:szCs w:val="22"/>
              </w:rPr>
            </w:pPr>
            <w:r w:rsidRPr="008D6AC4">
              <w:rPr>
                <w:rFonts w:ascii="Verdana" w:hAnsi="Verdana"/>
                <w:bCs/>
                <w:sz w:val="22"/>
                <w:szCs w:val="22"/>
              </w:rPr>
              <w:t>Hepatitis B</w:t>
            </w:r>
          </w:p>
        </w:tc>
        <w:tc>
          <w:tcPr>
            <w:tcW w:w="2119" w:type="dxa"/>
          </w:tcPr>
          <w:p w14:paraId="3D13A0DB" w14:textId="77777777" w:rsidR="0011787F" w:rsidRPr="008D6AC4" w:rsidRDefault="0011787F" w:rsidP="003B1CE3">
            <w:pPr>
              <w:rPr>
                <w:rFonts w:ascii="Verdana" w:hAnsi="Verdana"/>
                <w:sz w:val="22"/>
                <w:szCs w:val="22"/>
              </w:rPr>
            </w:pPr>
            <w:r w:rsidRPr="008D6AC4">
              <w:rPr>
                <w:rFonts w:ascii="Verdana" w:hAnsi="Verdana"/>
                <w:sz w:val="22"/>
                <w:szCs w:val="22"/>
              </w:rPr>
              <w:t>72</w:t>
            </w:r>
          </w:p>
        </w:tc>
        <w:tc>
          <w:tcPr>
            <w:tcW w:w="2089" w:type="dxa"/>
          </w:tcPr>
          <w:p w14:paraId="350ED909" w14:textId="77777777" w:rsidR="0011787F" w:rsidRPr="008D6AC4" w:rsidRDefault="0011787F" w:rsidP="003B1CE3">
            <w:pPr>
              <w:rPr>
                <w:rFonts w:ascii="Verdana" w:hAnsi="Verdana"/>
                <w:sz w:val="22"/>
                <w:szCs w:val="22"/>
              </w:rPr>
            </w:pPr>
            <w:r w:rsidRPr="008D6AC4">
              <w:rPr>
                <w:rFonts w:ascii="Verdana" w:hAnsi="Verdana"/>
                <w:sz w:val="22"/>
                <w:szCs w:val="22"/>
              </w:rPr>
              <w:t>9</w:t>
            </w:r>
          </w:p>
        </w:tc>
        <w:tc>
          <w:tcPr>
            <w:tcW w:w="1882" w:type="dxa"/>
          </w:tcPr>
          <w:p w14:paraId="15A90231" w14:textId="77777777" w:rsidR="0011787F" w:rsidRPr="008D6AC4" w:rsidRDefault="0011787F" w:rsidP="003B1CE3">
            <w:pPr>
              <w:rPr>
                <w:rFonts w:ascii="Verdana" w:hAnsi="Verdana"/>
                <w:sz w:val="22"/>
                <w:szCs w:val="22"/>
              </w:rPr>
            </w:pPr>
            <w:r w:rsidRPr="008D6AC4">
              <w:rPr>
                <w:rFonts w:ascii="Verdana" w:hAnsi="Verdana"/>
                <w:sz w:val="22"/>
                <w:szCs w:val="22"/>
              </w:rPr>
              <w:t>6</w:t>
            </w:r>
          </w:p>
        </w:tc>
      </w:tr>
      <w:tr w:rsidR="0011787F" w:rsidRPr="008D6AC4" w14:paraId="2B1046DB" w14:textId="77777777" w:rsidTr="0E4D9769">
        <w:trPr>
          <w:trHeight w:val="300"/>
        </w:trPr>
        <w:tc>
          <w:tcPr>
            <w:tcW w:w="2925" w:type="dxa"/>
          </w:tcPr>
          <w:p w14:paraId="33B1E97F" w14:textId="77777777" w:rsidR="0011787F" w:rsidRPr="008D6AC4" w:rsidRDefault="0011787F" w:rsidP="003B1CE3">
            <w:pPr>
              <w:rPr>
                <w:rFonts w:ascii="Verdana" w:hAnsi="Verdana"/>
                <w:bCs/>
                <w:sz w:val="22"/>
                <w:szCs w:val="22"/>
              </w:rPr>
            </w:pPr>
            <w:r w:rsidRPr="008D6AC4">
              <w:rPr>
                <w:rFonts w:ascii="Verdana" w:hAnsi="Verdana"/>
                <w:bCs/>
                <w:sz w:val="22"/>
                <w:szCs w:val="22"/>
              </w:rPr>
              <w:t>Hepatitis C</w:t>
            </w:r>
          </w:p>
        </w:tc>
        <w:tc>
          <w:tcPr>
            <w:tcW w:w="2119" w:type="dxa"/>
          </w:tcPr>
          <w:p w14:paraId="4B578421" w14:textId="77777777" w:rsidR="0011787F" w:rsidRPr="008D6AC4" w:rsidRDefault="0011787F" w:rsidP="003B1CE3">
            <w:pPr>
              <w:rPr>
                <w:rFonts w:ascii="Verdana" w:hAnsi="Verdana"/>
                <w:sz w:val="22"/>
                <w:szCs w:val="22"/>
              </w:rPr>
            </w:pPr>
            <w:r w:rsidRPr="008D6AC4">
              <w:rPr>
                <w:rFonts w:ascii="Verdana" w:hAnsi="Verdana"/>
                <w:sz w:val="22"/>
                <w:szCs w:val="22"/>
              </w:rPr>
              <w:t>13</w:t>
            </w:r>
          </w:p>
        </w:tc>
        <w:tc>
          <w:tcPr>
            <w:tcW w:w="2089" w:type="dxa"/>
          </w:tcPr>
          <w:p w14:paraId="7774BB67" w14:textId="77777777" w:rsidR="0011787F" w:rsidRPr="008D6AC4" w:rsidRDefault="0011787F" w:rsidP="003B1CE3">
            <w:pPr>
              <w:rPr>
                <w:rFonts w:ascii="Verdana" w:hAnsi="Verdana"/>
                <w:sz w:val="22"/>
                <w:szCs w:val="22"/>
              </w:rPr>
            </w:pPr>
            <w:r w:rsidRPr="008D6AC4">
              <w:rPr>
                <w:rFonts w:ascii="Verdana" w:hAnsi="Verdana"/>
                <w:sz w:val="22"/>
                <w:szCs w:val="22"/>
              </w:rPr>
              <w:t>2</w:t>
            </w:r>
          </w:p>
        </w:tc>
        <w:tc>
          <w:tcPr>
            <w:tcW w:w="1882" w:type="dxa"/>
          </w:tcPr>
          <w:p w14:paraId="54466151" w14:textId="77777777" w:rsidR="0011787F" w:rsidRPr="008D6AC4" w:rsidRDefault="0011787F" w:rsidP="003B1CE3">
            <w:pPr>
              <w:rPr>
                <w:rFonts w:ascii="Verdana" w:hAnsi="Verdana"/>
                <w:sz w:val="22"/>
                <w:szCs w:val="22"/>
              </w:rPr>
            </w:pPr>
            <w:r w:rsidRPr="008D6AC4">
              <w:rPr>
                <w:rFonts w:ascii="Verdana" w:hAnsi="Verdana"/>
                <w:sz w:val="22"/>
                <w:szCs w:val="22"/>
              </w:rPr>
              <w:t>6</w:t>
            </w:r>
          </w:p>
        </w:tc>
      </w:tr>
      <w:tr w:rsidR="0011787F" w:rsidRPr="008D6AC4" w14:paraId="077FBE3E" w14:textId="77777777" w:rsidTr="0E4D9769">
        <w:trPr>
          <w:trHeight w:val="300"/>
        </w:trPr>
        <w:tc>
          <w:tcPr>
            <w:tcW w:w="2925" w:type="dxa"/>
          </w:tcPr>
          <w:p w14:paraId="2A7AFEA6" w14:textId="77777777" w:rsidR="0011787F" w:rsidRPr="008D6AC4" w:rsidRDefault="0011787F" w:rsidP="003B1CE3">
            <w:pPr>
              <w:rPr>
                <w:rFonts w:ascii="Verdana" w:hAnsi="Verdana"/>
                <w:bCs/>
                <w:sz w:val="22"/>
                <w:szCs w:val="22"/>
              </w:rPr>
            </w:pPr>
            <w:r w:rsidRPr="008D6AC4">
              <w:rPr>
                <w:rFonts w:ascii="Verdana" w:hAnsi="Verdana"/>
                <w:bCs/>
                <w:sz w:val="22"/>
                <w:szCs w:val="22"/>
              </w:rPr>
              <w:t>Trichomonas Vaginalis</w:t>
            </w:r>
          </w:p>
        </w:tc>
        <w:tc>
          <w:tcPr>
            <w:tcW w:w="2119" w:type="dxa"/>
          </w:tcPr>
          <w:p w14:paraId="4B87FDE5" w14:textId="77777777" w:rsidR="0011787F" w:rsidRPr="008D6AC4" w:rsidRDefault="0011787F" w:rsidP="003B1CE3">
            <w:pPr>
              <w:rPr>
                <w:rFonts w:ascii="Verdana" w:hAnsi="Verdana"/>
                <w:sz w:val="22"/>
                <w:szCs w:val="22"/>
              </w:rPr>
            </w:pPr>
            <w:r w:rsidRPr="008D6AC4">
              <w:rPr>
                <w:rFonts w:ascii="Verdana" w:hAnsi="Verdana"/>
                <w:sz w:val="22"/>
                <w:szCs w:val="22"/>
              </w:rPr>
              <w:t>61</w:t>
            </w:r>
          </w:p>
        </w:tc>
        <w:tc>
          <w:tcPr>
            <w:tcW w:w="2089" w:type="dxa"/>
          </w:tcPr>
          <w:p w14:paraId="3B2420FE" w14:textId="77777777" w:rsidR="0011787F" w:rsidRPr="008D6AC4" w:rsidRDefault="0011787F" w:rsidP="003B1CE3">
            <w:pPr>
              <w:rPr>
                <w:rFonts w:ascii="Verdana" w:hAnsi="Verdana"/>
                <w:sz w:val="22"/>
                <w:szCs w:val="22"/>
              </w:rPr>
            </w:pPr>
            <w:r w:rsidRPr="008D6AC4">
              <w:rPr>
                <w:rFonts w:ascii="Verdana" w:hAnsi="Verdana"/>
                <w:sz w:val="22"/>
                <w:szCs w:val="22"/>
              </w:rPr>
              <w:t>169</w:t>
            </w:r>
          </w:p>
        </w:tc>
        <w:tc>
          <w:tcPr>
            <w:tcW w:w="1882" w:type="dxa"/>
          </w:tcPr>
          <w:p w14:paraId="74129234" w14:textId="77777777" w:rsidR="0011787F" w:rsidRPr="008D6AC4" w:rsidRDefault="0011787F" w:rsidP="003B1CE3">
            <w:pPr>
              <w:rPr>
                <w:rFonts w:ascii="Verdana" w:hAnsi="Verdana"/>
                <w:sz w:val="22"/>
                <w:szCs w:val="22"/>
              </w:rPr>
            </w:pPr>
            <w:r w:rsidRPr="008D6AC4">
              <w:rPr>
                <w:rFonts w:ascii="Verdana" w:hAnsi="Verdana"/>
                <w:sz w:val="22"/>
                <w:szCs w:val="22"/>
              </w:rPr>
              <w:t>34</w:t>
            </w:r>
          </w:p>
        </w:tc>
      </w:tr>
      <w:tr w:rsidR="0011787F" w:rsidRPr="008D6AC4" w14:paraId="68EDD47F" w14:textId="77777777" w:rsidTr="0E4D9769">
        <w:trPr>
          <w:trHeight w:val="300"/>
        </w:trPr>
        <w:tc>
          <w:tcPr>
            <w:tcW w:w="2925" w:type="dxa"/>
          </w:tcPr>
          <w:p w14:paraId="4AB212FC" w14:textId="77777777" w:rsidR="0011787F" w:rsidRPr="008D6AC4" w:rsidRDefault="0011787F" w:rsidP="003B1CE3">
            <w:pPr>
              <w:rPr>
                <w:rFonts w:ascii="Verdana" w:hAnsi="Verdana"/>
                <w:b/>
                <w:sz w:val="22"/>
                <w:szCs w:val="22"/>
              </w:rPr>
            </w:pPr>
            <w:r w:rsidRPr="008D6AC4">
              <w:rPr>
                <w:rFonts w:ascii="Verdana" w:hAnsi="Verdana"/>
                <w:b/>
                <w:sz w:val="22"/>
                <w:szCs w:val="22"/>
              </w:rPr>
              <w:t>Total infections</w:t>
            </w:r>
          </w:p>
        </w:tc>
        <w:tc>
          <w:tcPr>
            <w:tcW w:w="2119" w:type="dxa"/>
          </w:tcPr>
          <w:p w14:paraId="2C8F2BCF" w14:textId="77777777" w:rsidR="0011787F" w:rsidRPr="008D6AC4" w:rsidRDefault="0011787F" w:rsidP="003B1CE3">
            <w:pPr>
              <w:rPr>
                <w:rFonts w:ascii="Verdana" w:hAnsi="Verdana"/>
                <w:b/>
                <w:sz w:val="22"/>
                <w:szCs w:val="22"/>
              </w:rPr>
            </w:pPr>
            <w:r w:rsidRPr="008D6AC4">
              <w:rPr>
                <w:rFonts w:ascii="Verdana" w:hAnsi="Verdana"/>
                <w:b/>
                <w:sz w:val="22"/>
                <w:szCs w:val="22"/>
              </w:rPr>
              <w:t>4199</w:t>
            </w:r>
          </w:p>
        </w:tc>
        <w:tc>
          <w:tcPr>
            <w:tcW w:w="2089" w:type="dxa"/>
          </w:tcPr>
          <w:p w14:paraId="0B906B03" w14:textId="77777777" w:rsidR="0011787F" w:rsidRPr="008D6AC4" w:rsidRDefault="0011787F" w:rsidP="003B1CE3">
            <w:pPr>
              <w:rPr>
                <w:rFonts w:ascii="Verdana" w:hAnsi="Verdana"/>
                <w:b/>
                <w:sz w:val="22"/>
                <w:szCs w:val="22"/>
              </w:rPr>
            </w:pPr>
            <w:r w:rsidRPr="008D6AC4">
              <w:rPr>
                <w:rFonts w:ascii="Verdana" w:hAnsi="Verdana"/>
                <w:b/>
                <w:sz w:val="22"/>
                <w:szCs w:val="22"/>
              </w:rPr>
              <w:t>1681</w:t>
            </w:r>
          </w:p>
        </w:tc>
        <w:tc>
          <w:tcPr>
            <w:tcW w:w="1882" w:type="dxa"/>
          </w:tcPr>
          <w:p w14:paraId="3E65F827" w14:textId="77777777" w:rsidR="0011787F" w:rsidRPr="008D6AC4" w:rsidRDefault="0011787F" w:rsidP="003B1CE3">
            <w:pPr>
              <w:rPr>
                <w:rFonts w:ascii="Verdana" w:hAnsi="Verdana"/>
                <w:b/>
                <w:sz w:val="22"/>
                <w:szCs w:val="22"/>
              </w:rPr>
            </w:pPr>
            <w:r w:rsidRPr="008D6AC4">
              <w:rPr>
                <w:rFonts w:ascii="Verdana" w:hAnsi="Verdana"/>
                <w:b/>
                <w:sz w:val="22"/>
                <w:szCs w:val="22"/>
              </w:rPr>
              <w:t>517</w:t>
            </w:r>
          </w:p>
        </w:tc>
      </w:tr>
      <w:tr w:rsidR="0011787F" w:rsidRPr="008D6AC4" w14:paraId="092207C3" w14:textId="77777777" w:rsidTr="0E4D9769">
        <w:trPr>
          <w:trHeight w:val="300"/>
        </w:trPr>
        <w:tc>
          <w:tcPr>
            <w:tcW w:w="2925" w:type="dxa"/>
          </w:tcPr>
          <w:p w14:paraId="06FDEE4C" w14:textId="77777777" w:rsidR="0011787F" w:rsidRPr="008D6AC4" w:rsidRDefault="0011787F" w:rsidP="003B1CE3">
            <w:pPr>
              <w:rPr>
                <w:rFonts w:ascii="Verdana" w:hAnsi="Verdana"/>
                <w:b/>
                <w:sz w:val="22"/>
                <w:szCs w:val="22"/>
              </w:rPr>
            </w:pPr>
            <w:r w:rsidRPr="008D6AC4">
              <w:rPr>
                <w:rFonts w:ascii="Verdana" w:hAnsi="Verdana"/>
                <w:b/>
                <w:sz w:val="22"/>
                <w:szCs w:val="22"/>
              </w:rPr>
              <w:t>Total tests ordered</w:t>
            </w:r>
          </w:p>
        </w:tc>
        <w:tc>
          <w:tcPr>
            <w:tcW w:w="2119" w:type="dxa"/>
          </w:tcPr>
          <w:p w14:paraId="56AB8B23" w14:textId="77777777" w:rsidR="0011787F" w:rsidRPr="008D6AC4" w:rsidRDefault="0011787F" w:rsidP="003B1CE3">
            <w:pPr>
              <w:rPr>
                <w:rFonts w:ascii="Verdana" w:hAnsi="Verdana"/>
                <w:b/>
                <w:sz w:val="22"/>
                <w:szCs w:val="22"/>
              </w:rPr>
            </w:pPr>
            <w:r w:rsidRPr="008D6AC4">
              <w:rPr>
                <w:rFonts w:ascii="Verdana" w:hAnsi="Verdana"/>
                <w:b/>
                <w:sz w:val="22"/>
                <w:szCs w:val="22"/>
              </w:rPr>
              <w:t>80,843</w:t>
            </w:r>
          </w:p>
        </w:tc>
        <w:tc>
          <w:tcPr>
            <w:tcW w:w="2089" w:type="dxa"/>
          </w:tcPr>
          <w:p w14:paraId="0E059A08" w14:textId="77777777" w:rsidR="0011787F" w:rsidRPr="008D6AC4" w:rsidRDefault="0011787F" w:rsidP="003B1CE3">
            <w:pPr>
              <w:rPr>
                <w:rFonts w:ascii="Verdana" w:hAnsi="Verdana"/>
                <w:b/>
                <w:sz w:val="22"/>
                <w:szCs w:val="22"/>
              </w:rPr>
            </w:pPr>
            <w:r w:rsidRPr="008D6AC4">
              <w:rPr>
                <w:rFonts w:ascii="Verdana" w:hAnsi="Verdana"/>
                <w:b/>
                <w:sz w:val="22"/>
                <w:szCs w:val="22"/>
              </w:rPr>
              <w:t>23,837</w:t>
            </w:r>
          </w:p>
        </w:tc>
        <w:tc>
          <w:tcPr>
            <w:tcW w:w="1882" w:type="dxa"/>
          </w:tcPr>
          <w:p w14:paraId="07F2CFFE" w14:textId="77777777" w:rsidR="0011787F" w:rsidRPr="008D6AC4" w:rsidRDefault="0011787F" w:rsidP="003B1CE3">
            <w:pPr>
              <w:rPr>
                <w:rFonts w:ascii="Verdana" w:hAnsi="Verdana"/>
                <w:b/>
                <w:sz w:val="22"/>
                <w:szCs w:val="22"/>
              </w:rPr>
            </w:pPr>
            <w:r w:rsidRPr="008D6AC4">
              <w:rPr>
                <w:rFonts w:ascii="Verdana" w:hAnsi="Verdana"/>
                <w:b/>
                <w:sz w:val="22"/>
                <w:szCs w:val="22"/>
              </w:rPr>
              <w:t>7,758</w:t>
            </w:r>
          </w:p>
        </w:tc>
      </w:tr>
      <w:tr w:rsidR="0011787F" w:rsidRPr="008D6AC4" w14:paraId="6C2FB884" w14:textId="77777777" w:rsidTr="0E4D9769">
        <w:trPr>
          <w:trHeight w:val="300"/>
        </w:trPr>
        <w:tc>
          <w:tcPr>
            <w:tcW w:w="2925" w:type="dxa"/>
          </w:tcPr>
          <w:p w14:paraId="79907810" w14:textId="77777777" w:rsidR="0011787F" w:rsidRPr="008D6AC4" w:rsidRDefault="0011787F" w:rsidP="003B1CE3">
            <w:pPr>
              <w:rPr>
                <w:rFonts w:ascii="Verdana" w:hAnsi="Verdana"/>
                <w:b/>
                <w:sz w:val="22"/>
                <w:szCs w:val="22"/>
              </w:rPr>
            </w:pPr>
            <w:r w:rsidRPr="008D6AC4">
              <w:rPr>
                <w:rFonts w:ascii="Verdana" w:hAnsi="Verdana"/>
                <w:b/>
                <w:sz w:val="22"/>
                <w:szCs w:val="22"/>
              </w:rPr>
              <w:t>Positivity (%)</w:t>
            </w:r>
          </w:p>
        </w:tc>
        <w:tc>
          <w:tcPr>
            <w:tcW w:w="2119" w:type="dxa"/>
          </w:tcPr>
          <w:p w14:paraId="365AEECE" w14:textId="77777777" w:rsidR="0011787F" w:rsidRPr="008D6AC4" w:rsidRDefault="0011787F" w:rsidP="003B1CE3">
            <w:pPr>
              <w:rPr>
                <w:rFonts w:ascii="Verdana" w:hAnsi="Verdana"/>
                <w:b/>
                <w:sz w:val="22"/>
                <w:szCs w:val="22"/>
              </w:rPr>
            </w:pPr>
            <w:r w:rsidRPr="008D6AC4">
              <w:rPr>
                <w:rFonts w:ascii="Verdana" w:hAnsi="Verdana"/>
                <w:b/>
                <w:sz w:val="22"/>
                <w:szCs w:val="22"/>
              </w:rPr>
              <w:t>5.19%</w:t>
            </w:r>
          </w:p>
        </w:tc>
        <w:tc>
          <w:tcPr>
            <w:tcW w:w="2089" w:type="dxa"/>
          </w:tcPr>
          <w:p w14:paraId="59882B60" w14:textId="77777777" w:rsidR="0011787F" w:rsidRPr="008D6AC4" w:rsidRDefault="0011787F" w:rsidP="003B1CE3">
            <w:pPr>
              <w:rPr>
                <w:rFonts w:ascii="Verdana" w:hAnsi="Verdana"/>
                <w:b/>
                <w:sz w:val="22"/>
                <w:szCs w:val="22"/>
              </w:rPr>
            </w:pPr>
            <w:r w:rsidRPr="008D6AC4">
              <w:rPr>
                <w:rFonts w:ascii="Verdana" w:hAnsi="Verdana"/>
                <w:b/>
                <w:sz w:val="22"/>
                <w:szCs w:val="22"/>
              </w:rPr>
              <w:t>7.05%</w:t>
            </w:r>
          </w:p>
        </w:tc>
        <w:tc>
          <w:tcPr>
            <w:tcW w:w="1882" w:type="dxa"/>
          </w:tcPr>
          <w:p w14:paraId="57F4FA35" w14:textId="77777777" w:rsidR="0011787F" w:rsidRPr="008D6AC4" w:rsidRDefault="0011787F" w:rsidP="003B1CE3">
            <w:pPr>
              <w:rPr>
                <w:rFonts w:ascii="Verdana" w:hAnsi="Verdana"/>
                <w:b/>
                <w:sz w:val="22"/>
                <w:szCs w:val="22"/>
              </w:rPr>
            </w:pPr>
            <w:r w:rsidRPr="008D6AC4">
              <w:rPr>
                <w:rFonts w:ascii="Verdana" w:hAnsi="Verdana"/>
                <w:b/>
                <w:sz w:val="22"/>
                <w:szCs w:val="22"/>
              </w:rPr>
              <w:t>6.66%</w:t>
            </w:r>
          </w:p>
        </w:tc>
      </w:tr>
    </w:tbl>
    <w:p w14:paraId="7DC6840E" w14:textId="77777777" w:rsidR="0011787F" w:rsidRPr="008D6AC4" w:rsidRDefault="00AE2797" w:rsidP="0011787F">
      <w:pPr>
        <w:jc w:val="both"/>
        <w:rPr>
          <w:rFonts w:ascii="Verdana" w:hAnsi="Verdana"/>
          <w:sz w:val="22"/>
          <w:szCs w:val="22"/>
        </w:rPr>
      </w:pPr>
      <w:r>
        <w:br/>
      </w:r>
      <w:r w:rsidR="22065E35" w:rsidRPr="136F3BEB">
        <w:rPr>
          <w:rFonts w:ascii="Verdana" w:hAnsi="Verdana"/>
          <w:sz w:val="22"/>
          <w:szCs w:val="22"/>
        </w:rPr>
        <w:t xml:space="preserve">The positivity percentage for various demographics are shown below in </w:t>
      </w:r>
      <w:r w:rsidR="6D66E7AD" w:rsidRPr="136F3BEB">
        <w:rPr>
          <w:rFonts w:ascii="Verdana" w:hAnsi="Verdana"/>
          <w:b/>
          <w:bCs/>
          <w:sz w:val="22"/>
          <w:szCs w:val="22"/>
        </w:rPr>
        <w:t>T</w:t>
      </w:r>
      <w:r w:rsidR="22065E35" w:rsidRPr="136F3BEB">
        <w:rPr>
          <w:rFonts w:ascii="Verdana" w:hAnsi="Verdana"/>
          <w:b/>
          <w:bCs/>
          <w:sz w:val="22"/>
          <w:szCs w:val="22"/>
        </w:rPr>
        <w:t xml:space="preserve">able </w:t>
      </w:r>
      <w:r w:rsidR="6BCF3E71" w:rsidRPr="136F3BEB">
        <w:rPr>
          <w:rFonts w:ascii="Verdana" w:hAnsi="Verdana"/>
          <w:b/>
          <w:bCs/>
          <w:sz w:val="22"/>
          <w:szCs w:val="22"/>
        </w:rPr>
        <w:t>8</w:t>
      </w:r>
      <w:r w:rsidR="22065E35" w:rsidRPr="136F3BEB">
        <w:rPr>
          <w:rFonts w:ascii="Verdana" w:hAnsi="Verdana"/>
          <w:sz w:val="22"/>
          <w:szCs w:val="22"/>
        </w:rPr>
        <w:t xml:space="preserve">. Of note, there is higher positivity for chlamydia in those 16-25 years as expected. Rates for under 16s are high, but this is likely to be due to this age group only testing when there is suspicion of an STI, more so than for other age categories. The numbers are very low. It is not known what the breakdown of under 16s ordering per age is, this could be an area for further investigation. </w:t>
      </w:r>
    </w:p>
    <w:p w14:paraId="43C500B3" w14:textId="77777777" w:rsidR="003E31F2" w:rsidRPr="008D6AC4" w:rsidRDefault="4CE9E93A" w:rsidP="0011787F">
      <w:pPr>
        <w:jc w:val="both"/>
        <w:rPr>
          <w:rFonts w:ascii="Verdana" w:hAnsi="Verdana"/>
          <w:sz w:val="22"/>
          <w:szCs w:val="22"/>
        </w:rPr>
      </w:pPr>
      <w:r w:rsidRPr="008D6AC4">
        <w:rPr>
          <w:rFonts w:ascii="Verdana" w:hAnsi="Verdana"/>
          <w:sz w:val="22"/>
          <w:szCs w:val="22"/>
        </w:rPr>
        <w:t>For gonorrhoea, those identifying as gay have a 4.5% positivity compared to 0.6% in those identifying as straight. Looking at ethnicity, there are higher positivity percentages compared to the average for chlamydia (5.7%) in those with African (7.7%), Other Asian (7.5%), White and Black African (8.0%) and White and Black Caribbean (7.1%). For trichomonas vaginalis (TV) the positivity in White Irish ethnicity was 13.8% compared to the average of 2.4%. Each district of Kent had similar positivity percentages for chlamydia, gonorrhoea, syphilis and hepatitis C. For hepatitis B, Gravesham has a 2.4% positivity percentage compared to the average of 0.9%</w:t>
      </w:r>
      <w:r w:rsidR="00226FF2">
        <w:rPr>
          <w:rFonts w:ascii="Verdana" w:hAnsi="Verdana"/>
          <w:sz w:val="22"/>
          <w:szCs w:val="22"/>
        </w:rPr>
        <w:t xml:space="preserve"> across other Kent districts</w:t>
      </w:r>
      <w:r w:rsidRPr="008D6AC4">
        <w:rPr>
          <w:rFonts w:ascii="Verdana" w:hAnsi="Verdana"/>
          <w:sz w:val="22"/>
          <w:szCs w:val="22"/>
        </w:rPr>
        <w:t xml:space="preserve">. For trichomonas vaginalis, the positivity varied considerably between districts with higher rates in Dartford, Gravesham, Sevenoaks, </w:t>
      </w:r>
      <w:r w:rsidR="00226FF2">
        <w:rPr>
          <w:rFonts w:ascii="Verdana" w:hAnsi="Verdana"/>
          <w:sz w:val="22"/>
          <w:szCs w:val="22"/>
        </w:rPr>
        <w:t>Folkestone and Hythe</w:t>
      </w:r>
      <w:r w:rsidRPr="008D6AC4">
        <w:rPr>
          <w:rFonts w:ascii="Verdana" w:hAnsi="Verdana"/>
          <w:sz w:val="22"/>
          <w:szCs w:val="22"/>
        </w:rPr>
        <w:t xml:space="preserve"> and Swale. </w:t>
      </w:r>
    </w:p>
    <w:p w14:paraId="77B8B75A" w14:textId="77777777" w:rsidR="003E31F2" w:rsidRPr="008D6AC4" w:rsidRDefault="003E31F2" w:rsidP="0011787F">
      <w:pPr>
        <w:jc w:val="both"/>
        <w:rPr>
          <w:rFonts w:ascii="Verdana" w:hAnsi="Verdana"/>
          <w:sz w:val="22"/>
          <w:szCs w:val="22"/>
        </w:rPr>
      </w:pPr>
    </w:p>
    <w:p w14:paraId="045F0038" w14:textId="77777777" w:rsidR="0011787F" w:rsidRPr="008D6AC4" w:rsidRDefault="22065E35" w:rsidP="0011787F">
      <w:pPr>
        <w:rPr>
          <w:rFonts w:ascii="Verdana" w:hAnsi="Verdana"/>
          <w:sz w:val="22"/>
          <w:szCs w:val="22"/>
        </w:rPr>
      </w:pPr>
      <w:r w:rsidRPr="136F3BEB">
        <w:rPr>
          <w:rFonts w:ascii="Verdana" w:hAnsi="Verdana"/>
          <w:b/>
          <w:bCs/>
          <w:sz w:val="22"/>
          <w:szCs w:val="22"/>
        </w:rPr>
        <w:t xml:space="preserve">Table </w:t>
      </w:r>
      <w:r w:rsidR="7849CC8B" w:rsidRPr="136F3BEB">
        <w:rPr>
          <w:rFonts w:ascii="Verdana" w:hAnsi="Verdana"/>
          <w:b/>
          <w:bCs/>
          <w:sz w:val="22"/>
          <w:szCs w:val="22"/>
        </w:rPr>
        <w:t>8</w:t>
      </w:r>
      <w:r w:rsidRPr="136F3BEB">
        <w:rPr>
          <w:rFonts w:ascii="Verdana" w:hAnsi="Verdana"/>
          <w:b/>
          <w:bCs/>
          <w:sz w:val="22"/>
          <w:szCs w:val="22"/>
        </w:rPr>
        <w:t>: Positivity percentage by age, sexuality, ethnicity and district for each STI between Q1 of 2020 and November 2022.</w:t>
      </w:r>
    </w:p>
    <w:tbl>
      <w:tblPr>
        <w:tblW w:w="8921" w:type="dxa"/>
        <w:tblInd w:w="118" w:type="dxa"/>
        <w:tblLook w:val="04A0" w:firstRow="1" w:lastRow="0" w:firstColumn="1" w:lastColumn="0" w:noHBand="0" w:noVBand="1"/>
      </w:tblPr>
      <w:tblGrid>
        <w:gridCol w:w="1517"/>
        <w:gridCol w:w="1057"/>
        <w:gridCol w:w="1058"/>
        <w:gridCol w:w="1058"/>
        <w:gridCol w:w="1057"/>
        <w:gridCol w:w="1058"/>
        <w:gridCol w:w="1058"/>
        <w:gridCol w:w="1058"/>
      </w:tblGrid>
      <w:tr w:rsidR="00846834" w:rsidRPr="004C1EC5" w14:paraId="2D5DF820" w14:textId="77777777" w:rsidTr="00846834">
        <w:trPr>
          <w:trHeight w:val="870"/>
        </w:trPr>
        <w:tc>
          <w:tcPr>
            <w:tcW w:w="1517" w:type="dxa"/>
            <w:tcBorders>
              <w:top w:val="single" w:sz="8" w:space="0" w:color="auto"/>
              <w:left w:val="single" w:sz="8" w:space="0" w:color="auto"/>
              <w:bottom w:val="single" w:sz="8" w:space="0" w:color="auto"/>
              <w:right w:val="single" w:sz="8" w:space="0" w:color="auto"/>
            </w:tcBorders>
            <w:shd w:val="clear" w:color="000000" w:fill="DDF1F3"/>
            <w:vAlign w:val="center"/>
            <w:hideMark/>
          </w:tcPr>
          <w:p w14:paraId="7D82C59B" w14:textId="77777777" w:rsidR="004C1EC5" w:rsidRPr="004C1EC5" w:rsidRDefault="004C1EC5" w:rsidP="004C1EC5">
            <w:pPr>
              <w:spacing w:before="0" w:after="0" w:line="240" w:lineRule="auto"/>
              <w:rPr>
                <w:rFonts w:ascii="Verdana" w:eastAsia="Times New Roman" w:hAnsi="Verdana" w:cs="Times New Roman"/>
                <w:b/>
                <w:bCs/>
                <w:color w:val="000000"/>
                <w:sz w:val="22"/>
                <w:szCs w:val="22"/>
              </w:rPr>
            </w:pPr>
            <w:r w:rsidRPr="004C1EC5">
              <w:rPr>
                <w:rFonts w:ascii="Verdana" w:eastAsia="Times New Roman" w:hAnsi="Verdana" w:cs="Times New Roman"/>
                <w:b/>
                <w:bCs/>
                <w:sz w:val="22"/>
                <w:szCs w:val="22"/>
              </w:rPr>
              <w:t>STI</w:t>
            </w:r>
          </w:p>
        </w:tc>
        <w:tc>
          <w:tcPr>
            <w:tcW w:w="1057" w:type="dxa"/>
            <w:tcBorders>
              <w:top w:val="single" w:sz="8" w:space="0" w:color="auto"/>
              <w:left w:val="nil"/>
              <w:bottom w:val="single" w:sz="8" w:space="0" w:color="auto"/>
              <w:right w:val="single" w:sz="8" w:space="0" w:color="auto"/>
            </w:tcBorders>
            <w:shd w:val="clear" w:color="000000" w:fill="DDF1F3"/>
            <w:vAlign w:val="center"/>
            <w:hideMark/>
          </w:tcPr>
          <w:p w14:paraId="1CE3D554" w14:textId="77777777" w:rsidR="004C1EC5" w:rsidRPr="004C1EC5" w:rsidRDefault="004C1EC5" w:rsidP="004C1EC5">
            <w:pPr>
              <w:spacing w:before="0" w:after="0" w:line="240" w:lineRule="auto"/>
              <w:rPr>
                <w:rFonts w:ascii="Verdana" w:eastAsia="Times New Roman" w:hAnsi="Verdana" w:cs="Times New Roman"/>
                <w:b/>
                <w:bCs/>
                <w:color w:val="000000"/>
                <w:sz w:val="22"/>
                <w:szCs w:val="22"/>
              </w:rPr>
            </w:pPr>
            <w:r w:rsidRPr="004C1EC5">
              <w:rPr>
                <w:rFonts w:ascii="Verdana" w:eastAsia="Times New Roman" w:hAnsi="Verdana" w:cs="Times New Roman"/>
                <w:b/>
                <w:bCs/>
                <w:color w:val="000000"/>
                <w:sz w:val="22"/>
                <w:szCs w:val="22"/>
              </w:rPr>
              <w:t>Under 16 years</w:t>
            </w:r>
          </w:p>
        </w:tc>
        <w:tc>
          <w:tcPr>
            <w:tcW w:w="1058" w:type="dxa"/>
            <w:tcBorders>
              <w:top w:val="single" w:sz="8" w:space="0" w:color="auto"/>
              <w:left w:val="nil"/>
              <w:bottom w:val="single" w:sz="8" w:space="0" w:color="auto"/>
              <w:right w:val="single" w:sz="8" w:space="0" w:color="auto"/>
            </w:tcBorders>
            <w:shd w:val="clear" w:color="000000" w:fill="DDF1F3"/>
            <w:vAlign w:val="center"/>
            <w:hideMark/>
          </w:tcPr>
          <w:p w14:paraId="6B7BC178" w14:textId="77777777" w:rsidR="004C1EC5" w:rsidRPr="004C1EC5" w:rsidRDefault="004C1EC5" w:rsidP="004C1EC5">
            <w:pPr>
              <w:spacing w:before="0" w:after="0" w:line="240" w:lineRule="auto"/>
              <w:rPr>
                <w:rFonts w:ascii="Verdana" w:eastAsia="Times New Roman" w:hAnsi="Verdana" w:cs="Times New Roman"/>
                <w:b/>
                <w:bCs/>
                <w:color w:val="000000"/>
                <w:sz w:val="22"/>
                <w:szCs w:val="22"/>
              </w:rPr>
            </w:pPr>
            <w:r w:rsidRPr="004C1EC5">
              <w:rPr>
                <w:rFonts w:ascii="Verdana" w:eastAsia="Times New Roman" w:hAnsi="Verdana" w:cs="Times New Roman"/>
                <w:b/>
                <w:bCs/>
                <w:color w:val="000000"/>
                <w:sz w:val="22"/>
                <w:szCs w:val="22"/>
              </w:rPr>
              <w:t>16 to 25 years</w:t>
            </w:r>
          </w:p>
        </w:tc>
        <w:tc>
          <w:tcPr>
            <w:tcW w:w="1058" w:type="dxa"/>
            <w:tcBorders>
              <w:top w:val="single" w:sz="8" w:space="0" w:color="auto"/>
              <w:left w:val="nil"/>
              <w:bottom w:val="single" w:sz="8" w:space="0" w:color="auto"/>
              <w:right w:val="single" w:sz="8" w:space="0" w:color="auto"/>
            </w:tcBorders>
            <w:shd w:val="clear" w:color="000000" w:fill="DDF1F3"/>
            <w:vAlign w:val="center"/>
            <w:hideMark/>
          </w:tcPr>
          <w:p w14:paraId="05B9FD27" w14:textId="77777777" w:rsidR="004C1EC5" w:rsidRPr="004C1EC5" w:rsidRDefault="004C1EC5" w:rsidP="004C1EC5">
            <w:pPr>
              <w:spacing w:before="0" w:after="0" w:line="240" w:lineRule="auto"/>
              <w:rPr>
                <w:rFonts w:ascii="Verdana" w:eastAsia="Times New Roman" w:hAnsi="Verdana" w:cs="Times New Roman"/>
                <w:b/>
                <w:bCs/>
                <w:color w:val="000000"/>
                <w:sz w:val="22"/>
                <w:szCs w:val="22"/>
              </w:rPr>
            </w:pPr>
            <w:r w:rsidRPr="004C1EC5">
              <w:rPr>
                <w:rFonts w:ascii="Verdana" w:eastAsia="Times New Roman" w:hAnsi="Verdana" w:cs="Times New Roman"/>
                <w:b/>
                <w:bCs/>
                <w:color w:val="000000"/>
                <w:sz w:val="22"/>
                <w:szCs w:val="22"/>
              </w:rPr>
              <w:t>26 to 35 years</w:t>
            </w:r>
          </w:p>
        </w:tc>
        <w:tc>
          <w:tcPr>
            <w:tcW w:w="1057" w:type="dxa"/>
            <w:tcBorders>
              <w:top w:val="single" w:sz="8" w:space="0" w:color="auto"/>
              <w:left w:val="nil"/>
              <w:bottom w:val="single" w:sz="8" w:space="0" w:color="auto"/>
              <w:right w:val="single" w:sz="8" w:space="0" w:color="auto"/>
            </w:tcBorders>
            <w:shd w:val="clear" w:color="000000" w:fill="DDF1F3"/>
            <w:vAlign w:val="center"/>
            <w:hideMark/>
          </w:tcPr>
          <w:p w14:paraId="4B316BA7" w14:textId="77777777" w:rsidR="004C1EC5" w:rsidRPr="004C1EC5" w:rsidRDefault="004C1EC5" w:rsidP="004C1EC5">
            <w:pPr>
              <w:spacing w:before="0" w:after="0" w:line="240" w:lineRule="auto"/>
              <w:rPr>
                <w:rFonts w:ascii="Verdana" w:eastAsia="Times New Roman" w:hAnsi="Verdana" w:cs="Times New Roman"/>
                <w:b/>
                <w:bCs/>
                <w:color w:val="000000"/>
                <w:sz w:val="22"/>
                <w:szCs w:val="22"/>
              </w:rPr>
            </w:pPr>
            <w:r w:rsidRPr="004C1EC5">
              <w:rPr>
                <w:rFonts w:ascii="Verdana" w:eastAsia="Times New Roman" w:hAnsi="Verdana" w:cs="Times New Roman"/>
                <w:b/>
                <w:bCs/>
                <w:color w:val="000000"/>
                <w:sz w:val="22"/>
                <w:szCs w:val="22"/>
              </w:rPr>
              <w:t>36 to 45 years</w:t>
            </w:r>
          </w:p>
        </w:tc>
        <w:tc>
          <w:tcPr>
            <w:tcW w:w="1058" w:type="dxa"/>
            <w:tcBorders>
              <w:top w:val="single" w:sz="8" w:space="0" w:color="auto"/>
              <w:left w:val="nil"/>
              <w:bottom w:val="single" w:sz="8" w:space="0" w:color="auto"/>
              <w:right w:val="single" w:sz="8" w:space="0" w:color="auto"/>
            </w:tcBorders>
            <w:shd w:val="clear" w:color="000000" w:fill="DDF1F3"/>
            <w:vAlign w:val="center"/>
            <w:hideMark/>
          </w:tcPr>
          <w:p w14:paraId="41FBBF22" w14:textId="77777777" w:rsidR="004C1EC5" w:rsidRPr="004C1EC5" w:rsidRDefault="004C1EC5" w:rsidP="004C1EC5">
            <w:pPr>
              <w:spacing w:before="0" w:after="0" w:line="240" w:lineRule="auto"/>
              <w:rPr>
                <w:rFonts w:ascii="Verdana" w:eastAsia="Times New Roman" w:hAnsi="Verdana" w:cs="Times New Roman"/>
                <w:b/>
                <w:bCs/>
                <w:color w:val="000000"/>
                <w:sz w:val="22"/>
                <w:szCs w:val="22"/>
              </w:rPr>
            </w:pPr>
            <w:r w:rsidRPr="004C1EC5">
              <w:rPr>
                <w:rFonts w:ascii="Verdana" w:eastAsia="Times New Roman" w:hAnsi="Verdana" w:cs="Times New Roman"/>
                <w:b/>
                <w:bCs/>
                <w:color w:val="000000"/>
                <w:sz w:val="22"/>
                <w:szCs w:val="22"/>
              </w:rPr>
              <w:t>45 to 55 years</w:t>
            </w:r>
          </w:p>
        </w:tc>
        <w:tc>
          <w:tcPr>
            <w:tcW w:w="1058" w:type="dxa"/>
            <w:tcBorders>
              <w:top w:val="single" w:sz="8" w:space="0" w:color="auto"/>
              <w:left w:val="nil"/>
              <w:bottom w:val="single" w:sz="8" w:space="0" w:color="auto"/>
              <w:right w:val="single" w:sz="8" w:space="0" w:color="auto"/>
            </w:tcBorders>
            <w:shd w:val="clear" w:color="000000" w:fill="DDF1F3"/>
            <w:vAlign w:val="center"/>
            <w:hideMark/>
          </w:tcPr>
          <w:p w14:paraId="71E0508B" w14:textId="77777777" w:rsidR="004C1EC5" w:rsidRPr="004C1EC5" w:rsidRDefault="004C1EC5" w:rsidP="004C1EC5">
            <w:pPr>
              <w:spacing w:before="0" w:after="0" w:line="240" w:lineRule="auto"/>
              <w:rPr>
                <w:rFonts w:ascii="Verdana" w:eastAsia="Times New Roman" w:hAnsi="Verdana" w:cs="Times New Roman"/>
                <w:b/>
                <w:bCs/>
                <w:color w:val="000000"/>
                <w:sz w:val="22"/>
                <w:szCs w:val="22"/>
              </w:rPr>
            </w:pPr>
            <w:r w:rsidRPr="004C1EC5">
              <w:rPr>
                <w:rFonts w:ascii="Verdana" w:eastAsia="Times New Roman" w:hAnsi="Verdana" w:cs="Times New Roman"/>
                <w:b/>
                <w:bCs/>
                <w:color w:val="000000"/>
                <w:sz w:val="22"/>
                <w:szCs w:val="22"/>
              </w:rPr>
              <w:t>56 to 64 years</w:t>
            </w:r>
          </w:p>
        </w:tc>
        <w:tc>
          <w:tcPr>
            <w:tcW w:w="1058" w:type="dxa"/>
            <w:tcBorders>
              <w:top w:val="single" w:sz="8" w:space="0" w:color="auto"/>
              <w:left w:val="nil"/>
              <w:bottom w:val="single" w:sz="8" w:space="0" w:color="auto"/>
              <w:right w:val="single" w:sz="8" w:space="0" w:color="auto"/>
            </w:tcBorders>
            <w:shd w:val="clear" w:color="000000" w:fill="DDF1F3"/>
            <w:vAlign w:val="center"/>
            <w:hideMark/>
          </w:tcPr>
          <w:p w14:paraId="457ED27E" w14:textId="77777777" w:rsidR="004C1EC5" w:rsidRPr="004C1EC5" w:rsidRDefault="004C1EC5" w:rsidP="004C1EC5">
            <w:pPr>
              <w:spacing w:before="0" w:after="0" w:line="240" w:lineRule="auto"/>
              <w:rPr>
                <w:rFonts w:ascii="Verdana" w:eastAsia="Times New Roman" w:hAnsi="Verdana" w:cs="Times New Roman"/>
                <w:b/>
                <w:bCs/>
                <w:color w:val="000000"/>
                <w:sz w:val="22"/>
                <w:szCs w:val="22"/>
              </w:rPr>
            </w:pPr>
            <w:r w:rsidRPr="004C1EC5">
              <w:rPr>
                <w:rFonts w:ascii="Verdana" w:eastAsia="Times New Roman" w:hAnsi="Verdana" w:cs="Times New Roman"/>
                <w:b/>
                <w:bCs/>
                <w:color w:val="000000"/>
                <w:sz w:val="22"/>
                <w:szCs w:val="22"/>
              </w:rPr>
              <w:t>65+ years</w:t>
            </w:r>
          </w:p>
        </w:tc>
      </w:tr>
      <w:tr w:rsidR="004C1EC5" w:rsidRPr="004C1EC5" w14:paraId="5A4F84C3" w14:textId="77777777" w:rsidTr="00846834">
        <w:trPr>
          <w:trHeight w:val="585"/>
        </w:trPr>
        <w:tc>
          <w:tcPr>
            <w:tcW w:w="1517" w:type="dxa"/>
            <w:tcBorders>
              <w:top w:val="nil"/>
              <w:left w:val="single" w:sz="8" w:space="0" w:color="auto"/>
              <w:bottom w:val="single" w:sz="8" w:space="0" w:color="auto"/>
              <w:right w:val="single" w:sz="8" w:space="0" w:color="auto"/>
            </w:tcBorders>
            <w:shd w:val="clear" w:color="auto" w:fill="auto"/>
            <w:vAlign w:val="center"/>
            <w:hideMark/>
          </w:tcPr>
          <w:p w14:paraId="0904C0FD" w14:textId="77777777" w:rsidR="004C1EC5" w:rsidRPr="004C1EC5" w:rsidRDefault="004C1EC5" w:rsidP="004C1EC5">
            <w:pPr>
              <w:spacing w:before="0" w:after="0" w:line="240" w:lineRule="auto"/>
              <w:rPr>
                <w:rFonts w:ascii="Verdana" w:eastAsia="Times New Roman" w:hAnsi="Verdana" w:cs="Times New Roman"/>
                <w:color w:val="000000"/>
                <w:sz w:val="22"/>
                <w:szCs w:val="22"/>
              </w:rPr>
            </w:pPr>
            <w:r w:rsidRPr="004C1EC5">
              <w:rPr>
                <w:rFonts w:ascii="Verdana" w:eastAsia="Times New Roman" w:hAnsi="Verdana" w:cs="Times New Roman"/>
                <w:bCs/>
                <w:color w:val="000000"/>
                <w:sz w:val="22"/>
                <w:szCs w:val="22"/>
              </w:rPr>
              <w:t xml:space="preserve">Chlamydia </w:t>
            </w:r>
          </w:p>
        </w:tc>
        <w:tc>
          <w:tcPr>
            <w:tcW w:w="1057" w:type="dxa"/>
            <w:tcBorders>
              <w:top w:val="nil"/>
              <w:left w:val="nil"/>
              <w:bottom w:val="single" w:sz="8" w:space="0" w:color="auto"/>
              <w:right w:val="single" w:sz="8" w:space="0" w:color="auto"/>
            </w:tcBorders>
            <w:shd w:val="clear" w:color="auto" w:fill="auto"/>
            <w:vAlign w:val="center"/>
            <w:hideMark/>
          </w:tcPr>
          <w:p w14:paraId="166C69D4"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37.5</w:t>
            </w:r>
          </w:p>
        </w:tc>
        <w:tc>
          <w:tcPr>
            <w:tcW w:w="1058" w:type="dxa"/>
            <w:tcBorders>
              <w:top w:val="nil"/>
              <w:left w:val="nil"/>
              <w:bottom w:val="single" w:sz="8" w:space="0" w:color="auto"/>
              <w:right w:val="single" w:sz="8" w:space="0" w:color="auto"/>
            </w:tcBorders>
            <w:shd w:val="clear" w:color="auto" w:fill="auto"/>
            <w:vAlign w:val="center"/>
            <w:hideMark/>
          </w:tcPr>
          <w:p w14:paraId="58249B2B"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8</w:t>
            </w:r>
          </w:p>
        </w:tc>
        <w:tc>
          <w:tcPr>
            <w:tcW w:w="1058" w:type="dxa"/>
            <w:tcBorders>
              <w:top w:val="nil"/>
              <w:left w:val="nil"/>
              <w:bottom w:val="single" w:sz="8" w:space="0" w:color="auto"/>
              <w:right w:val="single" w:sz="8" w:space="0" w:color="auto"/>
            </w:tcBorders>
            <w:shd w:val="clear" w:color="auto" w:fill="auto"/>
            <w:vAlign w:val="center"/>
            <w:hideMark/>
          </w:tcPr>
          <w:p w14:paraId="0F61A075"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4</w:t>
            </w:r>
          </w:p>
        </w:tc>
        <w:tc>
          <w:tcPr>
            <w:tcW w:w="1057" w:type="dxa"/>
            <w:tcBorders>
              <w:top w:val="nil"/>
              <w:left w:val="nil"/>
              <w:bottom w:val="single" w:sz="8" w:space="0" w:color="auto"/>
              <w:right w:val="single" w:sz="8" w:space="0" w:color="auto"/>
            </w:tcBorders>
            <w:shd w:val="clear" w:color="auto" w:fill="auto"/>
            <w:vAlign w:val="center"/>
            <w:hideMark/>
          </w:tcPr>
          <w:p w14:paraId="2F556832"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3</w:t>
            </w:r>
          </w:p>
        </w:tc>
        <w:tc>
          <w:tcPr>
            <w:tcW w:w="1058" w:type="dxa"/>
            <w:tcBorders>
              <w:top w:val="nil"/>
              <w:left w:val="nil"/>
              <w:bottom w:val="single" w:sz="8" w:space="0" w:color="auto"/>
              <w:right w:val="single" w:sz="8" w:space="0" w:color="auto"/>
            </w:tcBorders>
            <w:shd w:val="clear" w:color="auto" w:fill="auto"/>
            <w:vAlign w:val="center"/>
            <w:hideMark/>
          </w:tcPr>
          <w:p w14:paraId="7A8B08C6"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2.6</w:t>
            </w:r>
          </w:p>
        </w:tc>
        <w:tc>
          <w:tcPr>
            <w:tcW w:w="1058" w:type="dxa"/>
            <w:tcBorders>
              <w:top w:val="nil"/>
              <w:left w:val="nil"/>
              <w:bottom w:val="single" w:sz="8" w:space="0" w:color="auto"/>
              <w:right w:val="single" w:sz="8" w:space="0" w:color="auto"/>
            </w:tcBorders>
            <w:shd w:val="clear" w:color="auto" w:fill="auto"/>
            <w:vAlign w:val="center"/>
            <w:hideMark/>
          </w:tcPr>
          <w:p w14:paraId="42DC8020"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2.1</w:t>
            </w:r>
          </w:p>
        </w:tc>
        <w:tc>
          <w:tcPr>
            <w:tcW w:w="1058" w:type="dxa"/>
            <w:tcBorders>
              <w:top w:val="nil"/>
              <w:left w:val="nil"/>
              <w:bottom w:val="single" w:sz="8" w:space="0" w:color="auto"/>
              <w:right w:val="single" w:sz="8" w:space="0" w:color="auto"/>
            </w:tcBorders>
            <w:shd w:val="clear" w:color="auto" w:fill="auto"/>
            <w:vAlign w:val="center"/>
            <w:hideMark/>
          </w:tcPr>
          <w:p w14:paraId="202C308E"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2.9</w:t>
            </w:r>
          </w:p>
        </w:tc>
      </w:tr>
      <w:tr w:rsidR="004C1EC5" w:rsidRPr="004C1EC5" w14:paraId="6FA612B4" w14:textId="77777777" w:rsidTr="00846834">
        <w:trPr>
          <w:trHeight w:val="585"/>
        </w:trPr>
        <w:tc>
          <w:tcPr>
            <w:tcW w:w="1517" w:type="dxa"/>
            <w:tcBorders>
              <w:top w:val="nil"/>
              <w:left w:val="single" w:sz="8" w:space="0" w:color="auto"/>
              <w:bottom w:val="single" w:sz="8" w:space="0" w:color="auto"/>
              <w:right w:val="single" w:sz="8" w:space="0" w:color="auto"/>
            </w:tcBorders>
            <w:shd w:val="clear" w:color="auto" w:fill="auto"/>
            <w:vAlign w:val="center"/>
            <w:hideMark/>
          </w:tcPr>
          <w:p w14:paraId="37A50A20" w14:textId="77777777" w:rsidR="004C1EC5" w:rsidRPr="004C1EC5" w:rsidRDefault="004C1EC5" w:rsidP="004C1EC5">
            <w:pPr>
              <w:spacing w:before="0" w:after="0" w:line="240" w:lineRule="auto"/>
              <w:rPr>
                <w:rFonts w:ascii="Verdana" w:eastAsia="Times New Roman" w:hAnsi="Verdana" w:cs="Times New Roman"/>
                <w:color w:val="000000"/>
                <w:sz w:val="22"/>
                <w:szCs w:val="22"/>
              </w:rPr>
            </w:pPr>
            <w:r w:rsidRPr="004C1EC5">
              <w:rPr>
                <w:rFonts w:ascii="Verdana" w:eastAsia="Times New Roman" w:hAnsi="Verdana" w:cs="Times New Roman"/>
                <w:bCs/>
                <w:color w:val="000000"/>
                <w:sz w:val="22"/>
                <w:szCs w:val="22"/>
              </w:rPr>
              <w:t xml:space="preserve">Gonorrhoea </w:t>
            </w:r>
          </w:p>
        </w:tc>
        <w:tc>
          <w:tcPr>
            <w:tcW w:w="1057" w:type="dxa"/>
            <w:tcBorders>
              <w:top w:val="nil"/>
              <w:left w:val="nil"/>
              <w:bottom w:val="single" w:sz="8" w:space="0" w:color="auto"/>
              <w:right w:val="single" w:sz="8" w:space="0" w:color="auto"/>
            </w:tcBorders>
            <w:shd w:val="clear" w:color="auto" w:fill="auto"/>
            <w:vAlign w:val="center"/>
            <w:hideMark/>
          </w:tcPr>
          <w:p w14:paraId="51824CEF"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12.5</w:t>
            </w:r>
          </w:p>
        </w:tc>
        <w:tc>
          <w:tcPr>
            <w:tcW w:w="1058" w:type="dxa"/>
            <w:tcBorders>
              <w:top w:val="nil"/>
              <w:left w:val="nil"/>
              <w:bottom w:val="single" w:sz="8" w:space="0" w:color="auto"/>
              <w:right w:val="single" w:sz="8" w:space="0" w:color="auto"/>
            </w:tcBorders>
            <w:shd w:val="clear" w:color="auto" w:fill="auto"/>
            <w:vAlign w:val="center"/>
            <w:hideMark/>
          </w:tcPr>
          <w:p w14:paraId="0ECE4877"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1</w:t>
            </w:r>
          </w:p>
        </w:tc>
        <w:tc>
          <w:tcPr>
            <w:tcW w:w="1058" w:type="dxa"/>
            <w:tcBorders>
              <w:top w:val="nil"/>
              <w:left w:val="nil"/>
              <w:bottom w:val="single" w:sz="8" w:space="0" w:color="auto"/>
              <w:right w:val="single" w:sz="8" w:space="0" w:color="auto"/>
            </w:tcBorders>
            <w:shd w:val="clear" w:color="auto" w:fill="auto"/>
            <w:vAlign w:val="center"/>
            <w:hideMark/>
          </w:tcPr>
          <w:p w14:paraId="1ABEB654"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0.9</w:t>
            </w:r>
          </w:p>
        </w:tc>
        <w:tc>
          <w:tcPr>
            <w:tcW w:w="1057" w:type="dxa"/>
            <w:tcBorders>
              <w:top w:val="nil"/>
              <w:left w:val="nil"/>
              <w:bottom w:val="single" w:sz="8" w:space="0" w:color="auto"/>
              <w:right w:val="single" w:sz="8" w:space="0" w:color="auto"/>
            </w:tcBorders>
            <w:shd w:val="clear" w:color="auto" w:fill="auto"/>
            <w:vAlign w:val="center"/>
            <w:hideMark/>
          </w:tcPr>
          <w:p w14:paraId="216577BA"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0.9</w:t>
            </w:r>
          </w:p>
        </w:tc>
        <w:tc>
          <w:tcPr>
            <w:tcW w:w="1058" w:type="dxa"/>
            <w:tcBorders>
              <w:top w:val="nil"/>
              <w:left w:val="nil"/>
              <w:bottom w:val="single" w:sz="8" w:space="0" w:color="auto"/>
              <w:right w:val="single" w:sz="8" w:space="0" w:color="auto"/>
            </w:tcBorders>
            <w:shd w:val="clear" w:color="auto" w:fill="auto"/>
            <w:vAlign w:val="center"/>
            <w:hideMark/>
          </w:tcPr>
          <w:p w14:paraId="4CAEF1C9"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1.2</w:t>
            </w:r>
          </w:p>
        </w:tc>
        <w:tc>
          <w:tcPr>
            <w:tcW w:w="1058" w:type="dxa"/>
            <w:tcBorders>
              <w:top w:val="nil"/>
              <w:left w:val="nil"/>
              <w:bottom w:val="single" w:sz="8" w:space="0" w:color="auto"/>
              <w:right w:val="single" w:sz="8" w:space="0" w:color="auto"/>
            </w:tcBorders>
            <w:shd w:val="clear" w:color="auto" w:fill="auto"/>
            <w:vAlign w:val="center"/>
            <w:hideMark/>
          </w:tcPr>
          <w:p w14:paraId="6E7E9657"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1.4</w:t>
            </w:r>
          </w:p>
        </w:tc>
        <w:tc>
          <w:tcPr>
            <w:tcW w:w="1058" w:type="dxa"/>
            <w:tcBorders>
              <w:top w:val="nil"/>
              <w:left w:val="nil"/>
              <w:bottom w:val="single" w:sz="8" w:space="0" w:color="auto"/>
              <w:right w:val="single" w:sz="8" w:space="0" w:color="auto"/>
            </w:tcBorders>
            <w:shd w:val="clear" w:color="auto" w:fill="auto"/>
            <w:vAlign w:val="center"/>
            <w:hideMark/>
          </w:tcPr>
          <w:p w14:paraId="095A7E25"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1.6</w:t>
            </w:r>
          </w:p>
        </w:tc>
      </w:tr>
      <w:tr w:rsidR="004C1EC5" w:rsidRPr="004C1EC5" w14:paraId="5A8D94BE" w14:textId="77777777" w:rsidTr="00846834">
        <w:trPr>
          <w:trHeight w:val="315"/>
        </w:trPr>
        <w:tc>
          <w:tcPr>
            <w:tcW w:w="1517" w:type="dxa"/>
            <w:tcBorders>
              <w:top w:val="nil"/>
              <w:left w:val="single" w:sz="8" w:space="0" w:color="auto"/>
              <w:bottom w:val="single" w:sz="8" w:space="0" w:color="auto"/>
              <w:right w:val="single" w:sz="8" w:space="0" w:color="auto"/>
            </w:tcBorders>
            <w:shd w:val="clear" w:color="auto" w:fill="auto"/>
            <w:vAlign w:val="center"/>
            <w:hideMark/>
          </w:tcPr>
          <w:p w14:paraId="5128653F" w14:textId="77777777" w:rsidR="004C1EC5" w:rsidRPr="004C1EC5" w:rsidRDefault="004C1EC5" w:rsidP="004C1EC5">
            <w:pPr>
              <w:spacing w:before="0" w:after="0" w:line="240" w:lineRule="auto"/>
              <w:rPr>
                <w:rFonts w:ascii="Verdana" w:eastAsia="Times New Roman" w:hAnsi="Verdana" w:cs="Times New Roman"/>
                <w:color w:val="000000"/>
                <w:sz w:val="22"/>
                <w:szCs w:val="22"/>
              </w:rPr>
            </w:pPr>
            <w:r w:rsidRPr="004C1EC5">
              <w:rPr>
                <w:rFonts w:ascii="Verdana" w:eastAsia="Times New Roman" w:hAnsi="Verdana" w:cs="Times New Roman"/>
                <w:bCs/>
                <w:color w:val="000000"/>
                <w:sz w:val="22"/>
                <w:szCs w:val="22"/>
              </w:rPr>
              <w:t>HIV</w:t>
            </w:r>
          </w:p>
        </w:tc>
        <w:tc>
          <w:tcPr>
            <w:tcW w:w="1057" w:type="dxa"/>
            <w:tcBorders>
              <w:top w:val="nil"/>
              <w:left w:val="nil"/>
              <w:bottom w:val="single" w:sz="8" w:space="0" w:color="auto"/>
              <w:right w:val="single" w:sz="8" w:space="0" w:color="auto"/>
            </w:tcBorders>
            <w:shd w:val="clear" w:color="auto" w:fill="auto"/>
            <w:vAlign w:val="center"/>
            <w:hideMark/>
          </w:tcPr>
          <w:p w14:paraId="15C1046C"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0</w:t>
            </w:r>
          </w:p>
        </w:tc>
        <w:tc>
          <w:tcPr>
            <w:tcW w:w="1058" w:type="dxa"/>
            <w:tcBorders>
              <w:top w:val="nil"/>
              <w:left w:val="nil"/>
              <w:bottom w:val="single" w:sz="8" w:space="0" w:color="auto"/>
              <w:right w:val="single" w:sz="8" w:space="0" w:color="auto"/>
            </w:tcBorders>
            <w:shd w:val="clear" w:color="auto" w:fill="auto"/>
            <w:vAlign w:val="center"/>
            <w:hideMark/>
          </w:tcPr>
          <w:p w14:paraId="28D3513E"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0.4</w:t>
            </w:r>
          </w:p>
        </w:tc>
        <w:tc>
          <w:tcPr>
            <w:tcW w:w="1058" w:type="dxa"/>
            <w:tcBorders>
              <w:top w:val="nil"/>
              <w:left w:val="nil"/>
              <w:bottom w:val="single" w:sz="8" w:space="0" w:color="auto"/>
              <w:right w:val="single" w:sz="8" w:space="0" w:color="auto"/>
            </w:tcBorders>
            <w:shd w:val="clear" w:color="auto" w:fill="auto"/>
            <w:vAlign w:val="center"/>
            <w:hideMark/>
          </w:tcPr>
          <w:p w14:paraId="4DE07F3B"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0.4</w:t>
            </w:r>
          </w:p>
        </w:tc>
        <w:tc>
          <w:tcPr>
            <w:tcW w:w="1057" w:type="dxa"/>
            <w:tcBorders>
              <w:top w:val="nil"/>
              <w:left w:val="nil"/>
              <w:bottom w:val="single" w:sz="8" w:space="0" w:color="auto"/>
              <w:right w:val="single" w:sz="8" w:space="0" w:color="auto"/>
            </w:tcBorders>
            <w:shd w:val="clear" w:color="auto" w:fill="auto"/>
            <w:vAlign w:val="center"/>
            <w:hideMark/>
          </w:tcPr>
          <w:p w14:paraId="387DCDC1"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0.6</w:t>
            </w:r>
          </w:p>
        </w:tc>
        <w:tc>
          <w:tcPr>
            <w:tcW w:w="1058" w:type="dxa"/>
            <w:tcBorders>
              <w:top w:val="nil"/>
              <w:left w:val="nil"/>
              <w:bottom w:val="single" w:sz="8" w:space="0" w:color="auto"/>
              <w:right w:val="single" w:sz="8" w:space="0" w:color="auto"/>
            </w:tcBorders>
            <w:shd w:val="clear" w:color="auto" w:fill="auto"/>
            <w:vAlign w:val="center"/>
            <w:hideMark/>
          </w:tcPr>
          <w:p w14:paraId="4D4B3E5A"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0.6</w:t>
            </w:r>
          </w:p>
        </w:tc>
        <w:tc>
          <w:tcPr>
            <w:tcW w:w="1058" w:type="dxa"/>
            <w:tcBorders>
              <w:top w:val="nil"/>
              <w:left w:val="nil"/>
              <w:bottom w:val="single" w:sz="8" w:space="0" w:color="auto"/>
              <w:right w:val="single" w:sz="8" w:space="0" w:color="auto"/>
            </w:tcBorders>
            <w:shd w:val="clear" w:color="auto" w:fill="auto"/>
            <w:vAlign w:val="center"/>
            <w:hideMark/>
          </w:tcPr>
          <w:p w14:paraId="5AA3E959"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0.4</w:t>
            </w:r>
          </w:p>
        </w:tc>
        <w:tc>
          <w:tcPr>
            <w:tcW w:w="1058" w:type="dxa"/>
            <w:tcBorders>
              <w:top w:val="nil"/>
              <w:left w:val="nil"/>
              <w:bottom w:val="single" w:sz="8" w:space="0" w:color="auto"/>
              <w:right w:val="single" w:sz="8" w:space="0" w:color="auto"/>
            </w:tcBorders>
            <w:shd w:val="clear" w:color="auto" w:fill="auto"/>
            <w:vAlign w:val="center"/>
            <w:hideMark/>
          </w:tcPr>
          <w:p w14:paraId="5D3BCF53"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0</w:t>
            </w:r>
          </w:p>
        </w:tc>
      </w:tr>
      <w:tr w:rsidR="004C1EC5" w:rsidRPr="004C1EC5" w14:paraId="7A015F67" w14:textId="77777777" w:rsidTr="00846834">
        <w:trPr>
          <w:trHeight w:val="315"/>
        </w:trPr>
        <w:tc>
          <w:tcPr>
            <w:tcW w:w="1517" w:type="dxa"/>
            <w:tcBorders>
              <w:top w:val="nil"/>
              <w:left w:val="single" w:sz="8" w:space="0" w:color="auto"/>
              <w:bottom w:val="single" w:sz="8" w:space="0" w:color="auto"/>
              <w:right w:val="single" w:sz="8" w:space="0" w:color="auto"/>
            </w:tcBorders>
            <w:shd w:val="clear" w:color="auto" w:fill="auto"/>
            <w:vAlign w:val="center"/>
            <w:hideMark/>
          </w:tcPr>
          <w:p w14:paraId="049024F4" w14:textId="77777777" w:rsidR="004C1EC5" w:rsidRPr="004C1EC5" w:rsidRDefault="004C1EC5" w:rsidP="004C1EC5">
            <w:pPr>
              <w:spacing w:before="0" w:after="0" w:line="240" w:lineRule="auto"/>
              <w:rPr>
                <w:rFonts w:ascii="Verdana" w:eastAsia="Times New Roman" w:hAnsi="Verdana" w:cs="Times New Roman"/>
                <w:color w:val="000000"/>
                <w:sz w:val="22"/>
                <w:szCs w:val="22"/>
              </w:rPr>
            </w:pPr>
            <w:r w:rsidRPr="004C1EC5">
              <w:rPr>
                <w:rFonts w:ascii="Verdana" w:eastAsia="Times New Roman" w:hAnsi="Verdana" w:cs="Times New Roman"/>
                <w:bCs/>
                <w:color w:val="000000"/>
                <w:sz w:val="22"/>
                <w:szCs w:val="22"/>
              </w:rPr>
              <w:t xml:space="preserve">Syphilis </w:t>
            </w:r>
          </w:p>
        </w:tc>
        <w:tc>
          <w:tcPr>
            <w:tcW w:w="1057" w:type="dxa"/>
            <w:tcBorders>
              <w:top w:val="nil"/>
              <w:left w:val="nil"/>
              <w:bottom w:val="single" w:sz="8" w:space="0" w:color="auto"/>
              <w:right w:val="single" w:sz="8" w:space="0" w:color="auto"/>
            </w:tcBorders>
            <w:shd w:val="clear" w:color="auto" w:fill="auto"/>
            <w:vAlign w:val="center"/>
            <w:hideMark/>
          </w:tcPr>
          <w:p w14:paraId="28E655A5"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0</w:t>
            </w:r>
          </w:p>
        </w:tc>
        <w:tc>
          <w:tcPr>
            <w:tcW w:w="1058" w:type="dxa"/>
            <w:tcBorders>
              <w:top w:val="nil"/>
              <w:left w:val="nil"/>
              <w:bottom w:val="single" w:sz="8" w:space="0" w:color="auto"/>
              <w:right w:val="single" w:sz="8" w:space="0" w:color="auto"/>
            </w:tcBorders>
            <w:shd w:val="clear" w:color="auto" w:fill="auto"/>
            <w:vAlign w:val="center"/>
            <w:hideMark/>
          </w:tcPr>
          <w:p w14:paraId="27706CD7"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0.1</w:t>
            </w:r>
          </w:p>
        </w:tc>
        <w:tc>
          <w:tcPr>
            <w:tcW w:w="1058" w:type="dxa"/>
            <w:tcBorders>
              <w:top w:val="nil"/>
              <w:left w:val="nil"/>
              <w:bottom w:val="single" w:sz="8" w:space="0" w:color="auto"/>
              <w:right w:val="single" w:sz="8" w:space="0" w:color="auto"/>
            </w:tcBorders>
            <w:shd w:val="clear" w:color="auto" w:fill="auto"/>
            <w:vAlign w:val="center"/>
            <w:hideMark/>
          </w:tcPr>
          <w:p w14:paraId="1F0C3C0A"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0.3</w:t>
            </w:r>
          </w:p>
        </w:tc>
        <w:tc>
          <w:tcPr>
            <w:tcW w:w="1057" w:type="dxa"/>
            <w:tcBorders>
              <w:top w:val="nil"/>
              <w:left w:val="nil"/>
              <w:bottom w:val="single" w:sz="8" w:space="0" w:color="auto"/>
              <w:right w:val="single" w:sz="8" w:space="0" w:color="auto"/>
            </w:tcBorders>
            <w:shd w:val="clear" w:color="auto" w:fill="auto"/>
            <w:vAlign w:val="center"/>
            <w:hideMark/>
          </w:tcPr>
          <w:p w14:paraId="33680D7F"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0.5</w:t>
            </w:r>
          </w:p>
        </w:tc>
        <w:tc>
          <w:tcPr>
            <w:tcW w:w="1058" w:type="dxa"/>
            <w:tcBorders>
              <w:top w:val="nil"/>
              <w:left w:val="nil"/>
              <w:bottom w:val="single" w:sz="8" w:space="0" w:color="auto"/>
              <w:right w:val="single" w:sz="8" w:space="0" w:color="auto"/>
            </w:tcBorders>
            <w:shd w:val="clear" w:color="auto" w:fill="auto"/>
            <w:vAlign w:val="center"/>
            <w:hideMark/>
          </w:tcPr>
          <w:p w14:paraId="39DA8E04"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0.4</w:t>
            </w:r>
          </w:p>
        </w:tc>
        <w:tc>
          <w:tcPr>
            <w:tcW w:w="1058" w:type="dxa"/>
            <w:tcBorders>
              <w:top w:val="nil"/>
              <w:left w:val="nil"/>
              <w:bottom w:val="single" w:sz="8" w:space="0" w:color="auto"/>
              <w:right w:val="single" w:sz="8" w:space="0" w:color="auto"/>
            </w:tcBorders>
            <w:shd w:val="clear" w:color="auto" w:fill="auto"/>
            <w:vAlign w:val="center"/>
            <w:hideMark/>
          </w:tcPr>
          <w:p w14:paraId="1086F0DE"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0.8</w:t>
            </w:r>
          </w:p>
        </w:tc>
        <w:tc>
          <w:tcPr>
            <w:tcW w:w="1058" w:type="dxa"/>
            <w:tcBorders>
              <w:top w:val="nil"/>
              <w:left w:val="nil"/>
              <w:bottom w:val="single" w:sz="8" w:space="0" w:color="auto"/>
              <w:right w:val="single" w:sz="8" w:space="0" w:color="auto"/>
            </w:tcBorders>
            <w:shd w:val="clear" w:color="auto" w:fill="auto"/>
            <w:vAlign w:val="center"/>
            <w:hideMark/>
          </w:tcPr>
          <w:p w14:paraId="23D33E15"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1.1</w:t>
            </w:r>
          </w:p>
        </w:tc>
      </w:tr>
      <w:tr w:rsidR="004C1EC5" w:rsidRPr="004C1EC5" w14:paraId="2ADA2FFA" w14:textId="77777777" w:rsidTr="00846834">
        <w:trPr>
          <w:trHeight w:val="585"/>
        </w:trPr>
        <w:tc>
          <w:tcPr>
            <w:tcW w:w="1517" w:type="dxa"/>
            <w:tcBorders>
              <w:top w:val="nil"/>
              <w:left w:val="single" w:sz="8" w:space="0" w:color="auto"/>
              <w:bottom w:val="single" w:sz="8" w:space="0" w:color="auto"/>
              <w:right w:val="single" w:sz="8" w:space="0" w:color="auto"/>
            </w:tcBorders>
            <w:shd w:val="clear" w:color="auto" w:fill="auto"/>
            <w:vAlign w:val="center"/>
            <w:hideMark/>
          </w:tcPr>
          <w:p w14:paraId="21B5DFF7" w14:textId="77777777" w:rsidR="004C1EC5" w:rsidRPr="004C1EC5" w:rsidRDefault="004C1EC5" w:rsidP="004C1EC5">
            <w:pPr>
              <w:spacing w:before="0" w:after="0" w:line="240" w:lineRule="auto"/>
              <w:rPr>
                <w:rFonts w:ascii="Verdana" w:eastAsia="Times New Roman" w:hAnsi="Verdana" w:cs="Times New Roman"/>
                <w:color w:val="000000"/>
                <w:sz w:val="22"/>
                <w:szCs w:val="22"/>
              </w:rPr>
            </w:pPr>
            <w:r w:rsidRPr="004C1EC5">
              <w:rPr>
                <w:rFonts w:ascii="Verdana" w:eastAsia="Times New Roman" w:hAnsi="Verdana" w:cs="Times New Roman"/>
                <w:bCs/>
                <w:color w:val="000000"/>
                <w:sz w:val="22"/>
                <w:szCs w:val="22"/>
              </w:rPr>
              <w:t>Hepatitis B</w:t>
            </w:r>
          </w:p>
        </w:tc>
        <w:tc>
          <w:tcPr>
            <w:tcW w:w="1057" w:type="dxa"/>
            <w:tcBorders>
              <w:top w:val="nil"/>
              <w:left w:val="nil"/>
              <w:bottom w:val="single" w:sz="8" w:space="0" w:color="auto"/>
              <w:right w:val="single" w:sz="8" w:space="0" w:color="auto"/>
            </w:tcBorders>
            <w:shd w:val="clear" w:color="auto" w:fill="auto"/>
            <w:vAlign w:val="center"/>
            <w:hideMark/>
          </w:tcPr>
          <w:p w14:paraId="595DCFC9"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0</w:t>
            </w:r>
          </w:p>
        </w:tc>
        <w:tc>
          <w:tcPr>
            <w:tcW w:w="1058" w:type="dxa"/>
            <w:tcBorders>
              <w:top w:val="nil"/>
              <w:left w:val="nil"/>
              <w:bottom w:val="single" w:sz="8" w:space="0" w:color="auto"/>
              <w:right w:val="single" w:sz="8" w:space="0" w:color="auto"/>
            </w:tcBorders>
            <w:shd w:val="clear" w:color="auto" w:fill="auto"/>
            <w:vAlign w:val="center"/>
            <w:hideMark/>
          </w:tcPr>
          <w:p w14:paraId="7EF92FAD"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0.7</w:t>
            </w:r>
          </w:p>
        </w:tc>
        <w:tc>
          <w:tcPr>
            <w:tcW w:w="1058" w:type="dxa"/>
            <w:tcBorders>
              <w:top w:val="nil"/>
              <w:left w:val="nil"/>
              <w:bottom w:val="single" w:sz="8" w:space="0" w:color="auto"/>
              <w:right w:val="single" w:sz="8" w:space="0" w:color="auto"/>
            </w:tcBorders>
            <w:shd w:val="clear" w:color="auto" w:fill="auto"/>
            <w:vAlign w:val="center"/>
            <w:hideMark/>
          </w:tcPr>
          <w:p w14:paraId="38A70200"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0.9</w:t>
            </w:r>
          </w:p>
        </w:tc>
        <w:tc>
          <w:tcPr>
            <w:tcW w:w="1057" w:type="dxa"/>
            <w:tcBorders>
              <w:top w:val="nil"/>
              <w:left w:val="nil"/>
              <w:bottom w:val="single" w:sz="8" w:space="0" w:color="auto"/>
              <w:right w:val="single" w:sz="8" w:space="0" w:color="auto"/>
            </w:tcBorders>
            <w:shd w:val="clear" w:color="auto" w:fill="auto"/>
            <w:vAlign w:val="center"/>
            <w:hideMark/>
          </w:tcPr>
          <w:p w14:paraId="7A04811B"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1.2</w:t>
            </w:r>
          </w:p>
        </w:tc>
        <w:tc>
          <w:tcPr>
            <w:tcW w:w="1058" w:type="dxa"/>
            <w:tcBorders>
              <w:top w:val="nil"/>
              <w:left w:val="nil"/>
              <w:bottom w:val="single" w:sz="8" w:space="0" w:color="auto"/>
              <w:right w:val="single" w:sz="8" w:space="0" w:color="auto"/>
            </w:tcBorders>
            <w:shd w:val="clear" w:color="auto" w:fill="auto"/>
            <w:vAlign w:val="center"/>
            <w:hideMark/>
          </w:tcPr>
          <w:p w14:paraId="19D9D11D"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1.9</w:t>
            </w:r>
          </w:p>
        </w:tc>
        <w:tc>
          <w:tcPr>
            <w:tcW w:w="1058" w:type="dxa"/>
            <w:tcBorders>
              <w:top w:val="nil"/>
              <w:left w:val="nil"/>
              <w:bottom w:val="single" w:sz="8" w:space="0" w:color="auto"/>
              <w:right w:val="single" w:sz="8" w:space="0" w:color="auto"/>
            </w:tcBorders>
            <w:shd w:val="clear" w:color="auto" w:fill="auto"/>
            <w:vAlign w:val="center"/>
            <w:hideMark/>
          </w:tcPr>
          <w:p w14:paraId="5437F304"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1</w:t>
            </w:r>
          </w:p>
        </w:tc>
        <w:tc>
          <w:tcPr>
            <w:tcW w:w="1058" w:type="dxa"/>
            <w:tcBorders>
              <w:top w:val="nil"/>
              <w:left w:val="nil"/>
              <w:bottom w:val="single" w:sz="8" w:space="0" w:color="auto"/>
              <w:right w:val="single" w:sz="8" w:space="0" w:color="auto"/>
            </w:tcBorders>
            <w:shd w:val="clear" w:color="auto" w:fill="auto"/>
            <w:vAlign w:val="center"/>
            <w:hideMark/>
          </w:tcPr>
          <w:p w14:paraId="0172C41D"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4.2</w:t>
            </w:r>
          </w:p>
        </w:tc>
      </w:tr>
      <w:tr w:rsidR="004C1EC5" w:rsidRPr="004C1EC5" w14:paraId="42087EA5" w14:textId="77777777" w:rsidTr="00846834">
        <w:trPr>
          <w:trHeight w:val="585"/>
        </w:trPr>
        <w:tc>
          <w:tcPr>
            <w:tcW w:w="1517" w:type="dxa"/>
            <w:tcBorders>
              <w:top w:val="nil"/>
              <w:left w:val="single" w:sz="8" w:space="0" w:color="auto"/>
              <w:bottom w:val="single" w:sz="8" w:space="0" w:color="auto"/>
              <w:right w:val="single" w:sz="8" w:space="0" w:color="auto"/>
            </w:tcBorders>
            <w:shd w:val="clear" w:color="auto" w:fill="auto"/>
            <w:vAlign w:val="center"/>
            <w:hideMark/>
          </w:tcPr>
          <w:p w14:paraId="0F6F6071" w14:textId="77777777" w:rsidR="004C1EC5" w:rsidRPr="004C1EC5" w:rsidRDefault="004C1EC5" w:rsidP="004C1EC5">
            <w:pPr>
              <w:spacing w:before="0" w:after="0" w:line="240" w:lineRule="auto"/>
              <w:rPr>
                <w:rFonts w:ascii="Verdana" w:eastAsia="Times New Roman" w:hAnsi="Verdana" w:cs="Times New Roman"/>
                <w:color w:val="000000"/>
                <w:sz w:val="22"/>
                <w:szCs w:val="22"/>
              </w:rPr>
            </w:pPr>
            <w:r w:rsidRPr="004C1EC5">
              <w:rPr>
                <w:rFonts w:ascii="Verdana" w:eastAsia="Times New Roman" w:hAnsi="Verdana" w:cs="Times New Roman"/>
                <w:bCs/>
                <w:color w:val="000000"/>
                <w:sz w:val="22"/>
                <w:szCs w:val="22"/>
              </w:rPr>
              <w:t>Hepatitis C</w:t>
            </w:r>
          </w:p>
        </w:tc>
        <w:tc>
          <w:tcPr>
            <w:tcW w:w="1057" w:type="dxa"/>
            <w:tcBorders>
              <w:top w:val="nil"/>
              <w:left w:val="nil"/>
              <w:bottom w:val="single" w:sz="8" w:space="0" w:color="auto"/>
              <w:right w:val="single" w:sz="8" w:space="0" w:color="auto"/>
            </w:tcBorders>
            <w:shd w:val="clear" w:color="auto" w:fill="auto"/>
            <w:vAlign w:val="center"/>
            <w:hideMark/>
          </w:tcPr>
          <w:p w14:paraId="3ED38D21"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0</w:t>
            </w:r>
          </w:p>
        </w:tc>
        <w:tc>
          <w:tcPr>
            <w:tcW w:w="1058" w:type="dxa"/>
            <w:tcBorders>
              <w:top w:val="nil"/>
              <w:left w:val="nil"/>
              <w:bottom w:val="single" w:sz="8" w:space="0" w:color="auto"/>
              <w:right w:val="single" w:sz="8" w:space="0" w:color="auto"/>
            </w:tcBorders>
            <w:shd w:val="clear" w:color="auto" w:fill="auto"/>
            <w:vAlign w:val="center"/>
            <w:hideMark/>
          </w:tcPr>
          <w:p w14:paraId="54DA046A"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0.2</w:t>
            </w:r>
          </w:p>
        </w:tc>
        <w:tc>
          <w:tcPr>
            <w:tcW w:w="1058" w:type="dxa"/>
            <w:tcBorders>
              <w:top w:val="nil"/>
              <w:left w:val="nil"/>
              <w:bottom w:val="single" w:sz="8" w:space="0" w:color="auto"/>
              <w:right w:val="single" w:sz="8" w:space="0" w:color="auto"/>
            </w:tcBorders>
            <w:shd w:val="clear" w:color="auto" w:fill="auto"/>
            <w:vAlign w:val="center"/>
            <w:hideMark/>
          </w:tcPr>
          <w:p w14:paraId="4AE83B5C"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0.4</w:t>
            </w:r>
          </w:p>
        </w:tc>
        <w:tc>
          <w:tcPr>
            <w:tcW w:w="1057" w:type="dxa"/>
            <w:tcBorders>
              <w:top w:val="nil"/>
              <w:left w:val="nil"/>
              <w:bottom w:val="single" w:sz="8" w:space="0" w:color="auto"/>
              <w:right w:val="single" w:sz="8" w:space="0" w:color="auto"/>
            </w:tcBorders>
            <w:shd w:val="clear" w:color="auto" w:fill="auto"/>
            <w:vAlign w:val="center"/>
            <w:hideMark/>
          </w:tcPr>
          <w:p w14:paraId="4A3A24FE"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0.7</w:t>
            </w:r>
          </w:p>
        </w:tc>
        <w:tc>
          <w:tcPr>
            <w:tcW w:w="1058" w:type="dxa"/>
            <w:tcBorders>
              <w:top w:val="nil"/>
              <w:left w:val="nil"/>
              <w:bottom w:val="single" w:sz="8" w:space="0" w:color="auto"/>
              <w:right w:val="single" w:sz="8" w:space="0" w:color="auto"/>
            </w:tcBorders>
            <w:shd w:val="clear" w:color="auto" w:fill="auto"/>
            <w:vAlign w:val="center"/>
            <w:hideMark/>
          </w:tcPr>
          <w:p w14:paraId="33AA05AE"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0</w:t>
            </w:r>
          </w:p>
        </w:tc>
        <w:tc>
          <w:tcPr>
            <w:tcW w:w="1058" w:type="dxa"/>
            <w:tcBorders>
              <w:top w:val="nil"/>
              <w:left w:val="nil"/>
              <w:bottom w:val="single" w:sz="8" w:space="0" w:color="auto"/>
              <w:right w:val="single" w:sz="8" w:space="0" w:color="auto"/>
            </w:tcBorders>
            <w:shd w:val="clear" w:color="auto" w:fill="auto"/>
            <w:vAlign w:val="center"/>
            <w:hideMark/>
          </w:tcPr>
          <w:p w14:paraId="1CA8C326"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0</w:t>
            </w:r>
          </w:p>
        </w:tc>
        <w:tc>
          <w:tcPr>
            <w:tcW w:w="1058" w:type="dxa"/>
            <w:tcBorders>
              <w:top w:val="nil"/>
              <w:left w:val="nil"/>
              <w:bottom w:val="single" w:sz="8" w:space="0" w:color="auto"/>
              <w:right w:val="single" w:sz="8" w:space="0" w:color="auto"/>
            </w:tcBorders>
            <w:shd w:val="clear" w:color="auto" w:fill="auto"/>
            <w:vAlign w:val="center"/>
            <w:hideMark/>
          </w:tcPr>
          <w:p w14:paraId="1153419A"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0</w:t>
            </w:r>
          </w:p>
        </w:tc>
      </w:tr>
      <w:tr w:rsidR="004C1EC5" w:rsidRPr="004C1EC5" w14:paraId="1C02CB9F" w14:textId="77777777" w:rsidTr="00846834">
        <w:trPr>
          <w:trHeight w:val="315"/>
        </w:trPr>
        <w:tc>
          <w:tcPr>
            <w:tcW w:w="1517" w:type="dxa"/>
            <w:tcBorders>
              <w:top w:val="nil"/>
              <w:left w:val="single" w:sz="8" w:space="0" w:color="auto"/>
              <w:bottom w:val="single" w:sz="8" w:space="0" w:color="auto"/>
              <w:right w:val="single" w:sz="8" w:space="0" w:color="auto"/>
            </w:tcBorders>
            <w:shd w:val="clear" w:color="auto" w:fill="auto"/>
            <w:vAlign w:val="center"/>
            <w:hideMark/>
          </w:tcPr>
          <w:p w14:paraId="5AEF67A4" w14:textId="77777777" w:rsidR="004C1EC5" w:rsidRPr="004C1EC5" w:rsidRDefault="004C1EC5" w:rsidP="004C1EC5">
            <w:pPr>
              <w:spacing w:before="0" w:after="0" w:line="240" w:lineRule="auto"/>
              <w:rPr>
                <w:rFonts w:ascii="Verdana" w:eastAsia="Times New Roman" w:hAnsi="Verdana" w:cs="Times New Roman"/>
                <w:color w:val="000000"/>
                <w:sz w:val="22"/>
                <w:szCs w:val="22"/>
              </w:rPr>
            </w:pPr>
            <w:r w:rsidRPr="004C1EC5">
              <w:rPr>
                <w:rFonts w:ascii="Verdana" w:eastAsia="Times New Roman" w:hAnsi="Verdana" w:cs="Times New Roman"/>
                <w:bCs/>
                <w:color w:val="000000"/>
                <w:sz w:val="22"/>
                <w:szCs w:val="22"/>
              </w:rPr>
              <w:t>TV</w:t>
            </w:r>
          </w:p>
        </w:tc>
        <w:tc>
          <w:tcPr>
            <w:tcW w:w="1057" w:type="dxa"/>
            <w:tcBorders>
              <w:top w:val="nil"/>
              <w:left w:val="nil"/>
              <w:bottom w:val="single" w:sz="8" w:space="0" w:color="auto"/>
              <w:right w:val="single" w:sz="8" w:space="0" w:color="auto"/>
            </w:tcBorders>
            <w:shd w:val="clear" w:color="auto" w:fill="auto"/>
            <w:vAlign w:val="center"/>
            <w:hideMark/>
          </w:tcPr>
          <w:p w14:paraId="2D67E767"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0</w:t>
            </w:r>
          </w:p>
        </w:tc>
        <w:tc>
          <w:tcPr>
            <w:tcW w:w="1058" w:type="dxa"/>
            <w:tcBorders>
              <w:top w:val="nil"/>
              <w:left w:val="nil"/>
              <w:bottom w:val="single" w:sz="8" w:space="0" w:color="auto"/>
              <w:right w:val="single" w:sz="8" w:space="0" w:color="auto"/>
            </w:tcBorders>
            <w:shd w:val="clear" w:color="auto" w:fill="auto"/>
            <w:vAlign w:val="center"/>
            <w:hideMark/>
          </w:tcPr>
          <w:p w14:paraId="062538AE"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2.3</w:t>
            </w:r>
          </w:p>
        </w:tc>
        <w:tc>
          <w:tcPr>
            <w:tcW w:w="1058" w:type="dxa"/>
            <w:tcBorders>
              <w:top w:val="nil"/>
              <w:left w:val="nil"/>
              <w:bottom w:val="single" w:sz="8" w:space="0" w:color="auto"/>
              <w:right w:val="single" w:sz="8" w:space="0" w:color="auto"/>
            </w:tcBorders>
            <w:shd w:val="clear" w:color="auto" w:fill="auto"/>
            <w:vAlign w:val="center"/>
            <w:hideMark/>
          </w:tcPr>
          <w:p w14:paraId="5CFC3204"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2.9</w:t>
            </w:r>
          </w:p>
        </w:tc>
        <w:tc>
          <w:tcPr>
            <w:tcW w:w="1057" w:type="dxa"/>
            <w:tcBorders>
              <w:top w:val="nil"/>
              <w:left w:val="nil"/>
              <w:bottom w:val="single" w:sz="8" w:space="0" w:color="auto"/>
              <w:right w:val="single" w:sz="8" w:space="0" w:color="auto"/>
            </w:tcBorders>
            <w:shd w:val="clear" w:color="auto" w:fill="auto"/>
            <w:vAlign w:val="center"/>
            <w:hideMark/>
          </w:tcPr>
          <w:p w14:paraId="5217B63E"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2.1</w:t>
            </w:r>
          </w:p>
        </w:tc>
        <w:tc>
          <w:tcPr>
            <w:tcW w:w="1058" w:type="dxa"/>
            <w:tcBorders>
              <w:top w:val="nil"/>
              <w:left w:val="nil"/>
              <w:bottom w:val="single" w:sz="8" w:space="0" w:color="auto"/>
              <w:right w:val="single" w:sz="8" w:space="0" w:color="auto"/>
            </w:tcBorders>
            <w:shd w:val="clear" w:color="auto" w:fill="auto"/>
            <w:vAlign w:val="center"/>
            <w:hideMark/>
          </w:tcPr>
          <w:p w14:paraId="72B74CDA"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4.7</w:t>
            </w:r>
          </w:p>
        </w:tc>
        <w:tc>
          <w:tcPr>
            <w:tcW w:w="1058" w:type="dxa"/>
            <w:tcBorders>
              <w:top w:val="nil"/>
              <w:left w:val="nil"/>
              <w:bottom w:val="single" w:sz="8" w:space="0" w:color="auto"/>
              <w:right w:val="single" w:sz="8" w:space="0" w:color="auto"/>
            </w:tcBorders>
            <w:shd w:val="clear" w:color="auto" w:fill="auto"/>
            <w:vAlign w:val="center"/>
            <w:hideMark/>
          </w:tcPr>
          <w:p w14:paraId="7D0C2959"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1.1</w:t>
            </w:r>
          </w:p>
        </w:tc>
        <w:tc>
          <w:tcPr>
            <w:tcW w:w="1058" w:type="dxa"/>
            <w:tcBorders>
              <w:top w:val="nil"/>
              <w:left w:val="nil"/>
              <w:bottom w:val="single" w:sz="8" w:space="0" w:color="auto"/>
              <w:right w:val="single" w:sz="8" w:space="0" w:color="auto"/>
            </w:tcBorders>
            <w:shd w:val="clear" w:color="auto" w:fill="auto"/>
            <w:vAlign w:val="center"/>
            <w:hideMark/>
          </w:tcPr>
          <w:p w14:paraId="569B39BC"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0</w:t>
            </w:r>
          </w:p>
        </w:tc>
      </w:tr>
    </w:tbl>
    <w:p w14:paraId="4956B309" w14:textId="77777777" w:rsidR="0011787F" w:rsidRDefault="0011787F" w:rsidP="0011787F">
      <w:pPr>
        <w:rPr>
          <w:rFonts w:ascii="Verdana" w:hAnsi="Verdana"/>
          <w:sz w:val="22"/>
          <w:szCs w:val="22"/>
        </w:rPr>
      </w:pPr>
    </w:p>
    <w:tbl>
      <w:tblPr>
        <w:tblW w:w="8921" w:type="dxa"/>
        <w:tblInd w:w="118" w:type="dxa"/>
        <w:tblLayout w:type="fixed"/>
        <w:tblLook w:val="04A0" w:firstRow="1" w:lastRow="0" w:firstColumn="1" w:lastColumn="0" w:noHBand="0" w:noVBand="1"/>
      </w:tblPr>
      <w:tblGrid>
        <w:gridCol w:w="1517"/>
        <w:gridCol w:w="1851"/>
        <w:gridCol w:w="1851"/>
        <w:gridCol w:w="1851"/>
        <w:gridCol w:w="1851"/>
      </w:tblGrid>
      <w:tr w:rsidR="00846834" w:rsidRPr="004C1EC5" w14:paraId="3CF016FF" w14:textId="77777777" w:rsidTr="00846834">
        <w:trPr>
          <w:trHeight w:val="870"/>
        </w:trPr>
        <w:tc>
          <w:tcPr>
            <w:tcW w:w="1517" w:type="dxa"/>
            <w:tcBorders>
              <w:top w:val="single" w:sz="8" w:space="0" w:color="auto"/>
              <w:left w:val="single" w:sz="8" w:space="0" w:color="auto"/>
              <w:bottom w:val="single" w:sz="8" w:space="0" w:color="auto"/>
              <w:right w:val="single" w:sz="8" w:space="0" w:color="auto"/>
            </w:tcBorders>
            <w:shd w:val="clear" w:color="000000" w:fill="DDF1F3"/>
            <w:vAlign w:val="center"/>
            <w:hideMark/>
          </w:tcPr>
          <w:p w14:paraId="74775D53" w14:textId="77777777" w:rsidR="004C1EC5" w:rsidRPr="004C1EC5" w:rsidRDefault="004C1EC5" w:rsidP="004C1EC5">
            <w:pPr>
              <w:spacing w:before="0" w:after="0" w:line="240" w:lineRule="auto"/>
              <w:rPr>
                <w:rFonts w:ascii="Verdana" w:eastAsia="Times New Roman" w:hAnsi="Verdana" w:cs="Times New Roman"/>
                <w:b/>
                <w:bCs/>
                <w:color w:val="000000"/>
                <w:sz w:val="22"/>
                <w:szCs w:val="22"/>
              </w:rPr>
            </w:pPr>
            <w:r w:rsidRPr="004C1EC5">
              <w:rPr>
                <w:rFonts w:ascii="Verdana" w:eastAsia="Times New Roman" w:hAnsi="Verdana" w:cs="Times New Roman"/>
                <w:b/>
                <w:bCs/>
                <w:sz w:val="22"/>
                <w:szCs w:val="22"/>
              </w:rPr>
              <w:t>STI</w:t>
            </w:r>
          </w:p>
        </w:tc>
        <w:tc>
          <w:tcPr>
            <w:tcW w:w="1851" w:type="dxa"/>
            <w:tcBorders>
              <w:top w:val="single" w:sz="8" w:space="0" w:color="auto"/>
              <w:left w:val="nil"/>
              <w:bottom w:val="single" w:sz="8" w:space="0" w:color="auto"/>
              <w:right w:val="single" w:sz="8" w:space="0" w:color="auto"/>
            </w:tcBorders>
            <w:shd w:val="clear" w:color="000000" w:fill="DDF1F3"/>
            <w:vAlign w:val="center"/>
            <w:hideMark/>
          </w:tcPr>
          <w:p w14:paraId="22441EC2" w14:textId="77777777" w:rsidR="004C1EC5" w:rsidRPr="004C1EC5" w:rsidRDefault="004C1EC5" w:rsidP="00846834">
            <w:pPr>
              <w:spacing w:before="0" w:after="0" w:line="240" w:lineRule="auto"/>
              <w:jc w:val="right"/>
              <w:rPr>
                <w:rFonts w:ascii="Verdana" w:eastAsia="Times New Roman" w:hAnsi="Verdana" w:cs="Times New Roman"/>
                <w:b/>
                <w:bCs/>
                <w:color w:val="000000"/>
                <w:sz w:val="22"/>
                <w:szCs w:val="22"/>
              </w:rPr>
            </w:pPr>
            <w:r w:rsidRPr="004C1EC5">
              <w:rPr>
                <w:rFonts w:ascii="Verdana" w:eastAsia="Times New Roman" w:hAnsi="Verdana" w:cs="Times New Roman"/>
                <w:b/>
                <w:bCs/>
                <w:color w:val="000000"/>
                <w:sz w:val="22"/>
                <w:szCs w:val="22"/>
              </w:rPr>
              <w:t xml:space="preserve">Bisexual </w:t>
            </w:r>
          </w:p>
        </w:tc>
        <w:tc>
          <w:tcPr>
            <w:tcW w:w="1851" w:type="dxa"/>
            <w:tcBorders>
              <w:top w:val="single" w:sz="8" w:space="0" w:color="auto"/>
              <w:left w:val="nil"/>
              <w:bottom w:val="single" w:sz="8" w:space="0" w:color="auto"/>
              <w:right w:val="single" w:sz="8" w:space="0" w:color="auto"/>
            </w:tcBorders>
            <w:shd w:val="clear" w:color="000000" w:fill="DDF1F3"/>
            <w:vAlign w:val="center"/>
            <w:hideMark/>
          </w:tcPr>
          <w:p w14:paraId="2A5CB7A5" w14:textId="77777777" w:rsidR="004C1EC5" w:rsidRPr="004C1EC5" w:rsidRDefault="004C1EC5" w:rsidP="00846834">
            <w:pPr>
              <w:spacing w:before="0" w:after="0" w:line="240" w:lineRule="auto"/>
              <w:jc w:val="right"/>
              <w:rPr>
                <w:rFonts w:ascii="Verdana" w:eastAsia="Times New Roman" w:hAnsi="Verdana" w:cs="Times New Roman"/>
                <w:b/>
                <w:bCs/>
                <w:color w:val="000000"/>
                <w:sz w:val="22"/>
                <w:szCs w:val="22"/>
              </w:rPr>
            </w:pPr>
            <w:r w:rsidRPr="004C1EC5">
              <w:rPr>
                <w:rFonts w:ascii="Verdana" w:eastAsia="Times New Roman" w:hAnsi="Verdana" w:cs="Times New Roman"/>
                <w:b/>
                <w:bCs/>
                <w:color w:val="000000"/>
                <w:sz w:val="22"/>
                <w:szCs w:val="22"/>
              </w:rPr>
              <w:t xml:space="preserve">Gay </w:t>
            </w:r>
          </w:p>
        </w:tc>
        <w:tc>
          <w:tcPr>
            <w:tcW w:w="1851" w:type="dxa"/>
            <w:tcBorders>
              <w:top w:val="single" w:sz="8" w:space="0" w:color="auto"/>
              <w:left w:val="nil"/>
              <w:bottom w:val="single" w:sz="8" w:space="0" w:color="auto"/>
              <w:right w:val="single" w:sz="8" w:space="0" w:color="auto"/>
            </w:tcBorders>
            <w:shd w:val="clear" w:color="000000" w:fill="DDF1F3"/>
            <w:vAlign w:val="center"/>
            <w:hideMark/>
          </w:tcPr>
          <w:p w14:paraId="41FDED23" w14:textId="77777777" w:rsidR="004C1EC5" w:rsidRPr="004C1EC5" w:rsidRDefault="004C1EC5" w:rsidP="00846834">
            <w:pPr>
              <w:spacing w:before="0" w:after="0" w:line="240" w:lineRule="auto"/>
              <w:jc w:val="right"/>
              <w:rPr>
                <w:rFonts w:ascii="Verdana" w:eastAsia="Times New Roman" w:hAnsi="Verdana" w:cs="Times New Roman"/>
                <w:b/>
                <w:bCs/>
                <w:color w:val="000000"/>
                <w:sz w:val="22"/>
                <w:szCs w:val="22"/>
              </w:rPr>
            </w:pPr>
            <w:r w:rsidRPr="004C1EC5">
              <w:rPr>
                <w:rFonts w:ascii="Verdana" w:eastAsia="Times New Roman" w:hAnsi="Verdana" w:cs="Times New Roman"/>
                <w:b/>
                <w:bCs/>
                <w:color w:val="000000"/>
                <w:sz w:val="22"/>
                <w:szCs w:val="22"/>
              </w:rPr>
              <w:t>Straight</w:t>
            </w:r>
          </w:p>
        </w:tc>
        <w:tc>
          <w:tcPr>
            <w:tcW w:w="1851" w:type="dxa"/>
            <w:tcBorders>
              <w:top w:val="single" w:sz="8" w:space="0" w:color="auto"/>
              <w:left w:val="nil"/>
              <w:bottom w:val="single" w:sz="8" w:space="0" w:color="auto"/>
              <w:right w:val="single" w:sz="8" w:space="0" w:color="auto"/>
            </w:tcBorders>
            <w:shd w:val="clear" w:color="000000" w:fill="DDF1F3"/>
            <w:vAlign w:val="center"/>
            <w:hideMark/>
          </w:tcPr>
          <w:p w14:paraId="457F3A65" w14:textId="77777777" w:rsidR="004C1EC5" w:rsidRPr="004C1EC5" w:rsidRDefault="004C1EC5" w:rsidP="00846834">
            <w:pPr>
              <w:spacing w:before="0" w:after="0" w:line="240" w:lineRule="auto"/>
              <w:jc w:val="right"/>
              <w:rPr>
                <w:rFonts w:ascii="Verdana" w:eastAsia="Times New Roman" w:hAnsi="Verdana" w:cs="Times New Roman"/>
                <w:b/>
                <w:bCs/>
                <w:color w:val="000000"/>
                <w:sz w:val="22"/>
                <w:szCs w:val="22"/>
              </w:rPr>
            </w:pPr>
            <w:r w:rsidRPr="004C1EC5">
              <w:rPr>
                <w:rFonts w:ascii="Verdana" w:eastAsia="Times New Roman" w:hAnsi="Verdana" w:cs="Times New Roman"/>
                <w:b/>
                <w:bCs/>
                <w:color w:val="000000"/>
                <w:sz w:val="22"/>
                <w:szCs w:val="22"/>
              </w:rPr>
              <w:t>Undecided</w:t>
            </w:r>
          </w:p>
        </w:tc>
      </w:tr>
      <w:tr w:rsidR="004C1EC5" w:rsidRPr="004C1EC5" w14:paraId="6BE3C4FA" w14:textId="77777777" w:rsidTr="00846834">
        <w:trPr>
          <w:trHeight w:val="585"/>
        </w:trPr>
        <w:tc>
          <w:tcPr>
            <w:tcW w:w="1517" w:type="dxa"/>
            <w:tcBorders>
              <w:top w:val="nil"/>
              <w:left w:val="single" w:sz="8" w:space="0" w:color="auto"/>
              <w:bottom w:val="single" w:sz="8" w:space="0" w:color="auto"/>
              <w:right w:val="single" w:sz="8" w:space="0" w:color="auto"/>
            </w:tcBorders>
            <w:shd w:val="clear" w:color="auto" w:fill="auto"/>
            <w:vAlign w:val="center"/>
            <w:hideMark/>
          </w:tcPr>
          <w:p w14:paraId="61AF1A76" w14:textId="77777777" w:rsidR="004C1EC5" w:rsidRPr="004C1EC5" w:rsidRDefault="004C1EC5" w:rsidP="004C1EC5">
            <w:pPr>
              <w:spacing w:before="0" w:after="0" w:line="240" w:lineRule="auto"/>
              <w:rPr>
                <w:rFonts w:ascii="Verdana" w:eastAsia="Times New Roman" w:hAnsi="Verdana" w:cs="Times New Roman"/>
                <w:color w:val="000000"/>
                <w:sz w:val="22"/>
                <w:szCs w:val="22"/>
              </w:rPr>
            </w:pPr>
            <w:r w:rsidRPr="004C1EC5">
              <w:rPr>
                <w:rFonts w:ascii="Verdana" w:eastAsia="Times New Roman" w:hAnsi="Verdana" w:cs="Times New Roman"/>
                <w:bCs/>
                <w:color w:val="000000"/>
                <w:sz w:val="22"/>
                <w:szCs w:val="22"/>
              </w:rPr>
              <w:t xml:space="preserve">Chlamydia </w:t>
            </w:r>
          </w:p>
        </w:tc>
        <w:tc>
          <w:tcPr>
            <w:tcW w:w="1851" w:type="dxa"/>
            <w:tcBorders>
              <w:top w:val="nil"/>
              <w:left w:val="nil"/>
              <w:bottom w:val="single" w:sz="8" w:space="0" w:color="auto"/>
              <w:right w:val="single" w:sz="8" w:space="0" w:color="auto"/>
            </w:tcBorders>
            <w:shd w:val="clear" w:color="auto" w:fill="auto"/>
            <w:vAlign w:val="center"/>
            <w:hideMark/>
          </w:tcPr>
          <w:p w14:paraId="15971B4E"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5.1</w:t>
            </w:r>
          </w:p>
        </w:tc>
        <w:tc>
          <w:tcPr>
            <w:tcW w:w="1851" w:type="dxa"/>
            <w:tcBorders>
              <w:top w:val="nil"/>
              <w:left w:val="nil"/>
              <w:bottom w:val="single" w:sz="8" w:space="0" w:color="auto"/>
              <w:right w:val="single" w:sz="8" w:space="0" w:color="auto"/>
            </w:tcBorders>
            <w:shd w:val="clear" w:color="auto" w:fill="auto"/>
            <w:vAlign w:val="center"/>
            <w:hideMark/>
          </w:tcPr>
          <w:p w14:paraId="60FF2B2B"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5.9</w:t>
            </w:r>
          </w:p>
        </w:tc>
        <w:tc>
          <w:tcPr>
            <w:tcW w:w="1851" w:type="dxa"/>
            <w:tcBorders>
              <w:top w:val="nil"/>
              <w:left w:val="nil"/>
              <w:bottom w:val="single" w:sz="8" w:space="0" w:color="auto"/>
              <w:right w:val="single" w:sz="8" w:space="0" w:color="auto"/>
            </w:tcBorders>
            <w:shd w:val="clear" w:color="auto" w:fill="auto"/>
            <w:vAlign w:val="center"/>
            <w:hideMark/>
          </w:tcPr>
          <w:p w14:paraId="3827F46D"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5.7</w:t>
            </w:r>
          </w:p>
        </w:tc>
        <w:tc>
          <w:tcPr>
            <w:tcW w:w="1851" w:type="dxa"/>
            <w:tcBorders>
              <w:top w:val="nil"/>
              <w:left w:val="nil"/>
              <w:bottom w:val="single" w:sz="8" w:space="0" w:color="auto"/>
              <w:right w:val="single" w:sz="8" w:space="0" w:color="auto"/>
            </w:tcBorders>
            <w:shd w:val="clear" w:color="auto" w:fill="auto"/>
            <w:vAlign w:val="center"/>
            <w:hideMark/>
          </w:tcPr>
          <w:p w14:paraId="6FD8D156"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5.1</w:t>
            </w:r>
          </w:p>
        </w:tc>
      </w:tr>
      <w:tr w:rsidR="004C1EC5" w:rsidRPr="004C1EC5" w14:paraId="79B268CC" w14:textId="77777777" w:rsidTr="00846834">
        <w:trPr>
          <w:trHeight w:val="585"/>
        </w:trPr>
        <w:tc>
          <w:tcPr>
            <w:tcW w:w="1517" w:type="dxa"/>
            <w:tcBorders>
              <w:top w:val="nil"/>
              <w:left w:val="single" w:sz="8" w:space="0" w:color="auto"/>
              <w:bottom w:val="single" w:sz="8" w:space="0" w:color="auto"/>
              <w:right w:val="single" w:sz="8" w:space="0" w:color="auto"/>
            </w:tcBorders>
            <w:shd w:val="clear" w:color="auto" w:fill="auto"/>
            <w:vAlign w:val="center"/>
            <w:hideMark/>
          </w:tcPr>
          <w:p w14:paraId="1C08AB06" w14:textId="77777777" w:rsidR="004C1EC5" w:rsidRPr="004C1EC5" w:rsidRDefault="004C1EC5" w:rsidP="004C1EC5">
            <w:pPr>
              <w:spacing w:before="0" w:after="0" w:line="240" w:lineRule="auto"/>
              <w:rPr>
                <w:rFonts w:ascii="Verdana" w:eastAsia="Times New Roman" w:hAnsi="Verdana" w:cs="Times New Roman"/>
                <w:color w:val="000000"/>
                <w:sz w:val="22"/>
                <w:szCs w:val="22"/>
              </w:rPr>
            </w:pPr>
            <w:r w:rsidRPr="004C1EC5">
              <w:rPr>
                <w:rFonts w:ascii="Verdana" w:eastAsia="Times New Roman" w:hAnsi="Verdana" w:cs="Times New Roman"/>
                <w:bCs/>
                <w:color w:val="000000"/>
                <w:sz w:val="22"/>
                <w:szCs w:val="22"/>
              </w:rPr>
              <w:t xml:space="preserve">Gonorrhoea </w:t>
            </w:r>
          </w:p>
        </w:tc>
        <w:tc>
          <w:tcPr>
            <w:tcW w:w="1851" w:type="dxa"/>
            <w:tcBorders>
              <w:top w:val="nil"/>
              <w:left w:val="nil"/>
              <w:bottom w:val="single" w:sz="8" w:space="0" w:color="auto"/>
              <w:right w:val="single" w:sz="8" w:space="0" w:color="auto"/>
            </w:tcBorders>
            <w:shd w:val="clear" w:color="auto" w:fill="auto"/>
            <w:vAlign w:val="center"/>
            <w:hideMark/>
          </w:tcPr>
          <w:p w14:paraId="1395D6EE"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1.3</w:t>
            </w:r>
          </w:p>
        </w:tc>
        <w:tc>
          <w:tcPr>
            <w:tcW w:w="1851" w:type="dxa"/>
            <w:tcBorders>
              <w:top w:val="nil"/>
              <w:left w:val="nil"/>
              <w:bottom w:val="single" w:sz="8" w:space="0" w:color="auto"/>
              <w:right w:val="single" w:sz="8" w:space="0" w:color="auto"/>
            </w:tcBorders>
            <w:shd w:val="clear" w:color="auto" w:fill="auto"/>
            <w:vAlign w:val="center"/>
            <w:hideMark/>
          </w:tcPr>
          <w:p w14:paraId="76632274"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4.5</w:t>
            </w:r>
          </w:p>
        </w:tc>
        <w:tc>
          <w:tcPr>
            <w:tcW w:w="1851" w:type="dxa"/>
            <w:tcBorders>
              <w:top w:val="nil"/>
              <w:left w:val="nil"/>
              <w:bottom w:val="single" w:sz="8" w:space="0" w:color="auto"/>
              <w:right w:val="single" w:sz="8" w:space="0" w:color="auto"/>
            </w:tcBorders>
            <w:shd w:val="clear" w:color="auto" w:fill="auto"/>
            <w:vAlign w:val="center"/>
            <w:hideMark/>
          </w:tcPr>
          <w:p w14:paraId="542DAC9B"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0.6</w:t>
            </w:r>
          </w:p>
        </w:tc>
        <w:tc>
          <w:tcPr>
            <w:tcW w:w="1851" w:type="dxa"/>
            <w:tcBorders>
              <w:top w:val="nil"/>
              <w:left w:val="nil"/>
              <w:bottom w:val="single" w:sz="8" w:space="0" w:color="auto"/>
              <w:right w:val="single" w:sz="8" w:space="0" w:color="auto"/>
            </w:tcBorders>
            <w:shd w:val="clear" w:color="auto" w:fill="auto"/>
            <w:vAlign w:val="center"/>
            <w:hideMark/>
          </w:tcPr>
          <w:p w14:paraId="7743A8DF"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2.8</w:t>
            </w:r>
          </w:p>
        </w:tc>
      </w:tr>
      <w:tr w:rsidR="004C1EC5" w:rsidRPr="004C1EC5" w14:paraId="6DCC7A83" w14:textId="77777777" w:rsidTr="00846834">
        <w:trPr>
          <w:trHeight w:val="315"/>
        </w:trPr>
        <w:tc>
          <w:tcPr>
            <w:tcW w:w="1517" w:type="dxa"/>
            <w:tcBorders>
              <w:top w:val="nil"/>
              <w:left w:val="single" w:sz="8" w:space="0" w:color="auto"/>
              <w:bottom w:val="single" w:sz="8" w:space="0" w:color="auto"/>
              <w:right w:val="single" w:sz="8" w:space="0" w:color="auto"/>
            </w:tcBorders>
            <w:shd w:val="clear" w:color="auto" w:fill="auto"/>
            <w:vAlign w:val="center"/>
            <w:hideMark/>
          </w:tcPr>
          <w:p w14:paraId="4C6B48A1" w14:textId="77777777" w:rsidR="004C1EC5" w:rsidRPr="004C1EC5" w:rsidRDefault="004C1EC5" w:rsidP="004C1EC5">
            <w:pPr>
              <w:spacing w:before="0" w:after="0" w:line="240" w:lineRule="auto"/>
              <w:rPr>
                <w:rFonts w:ascii="Verdana" w:eastAsia="Times New Roman" w:hAnsi="Verdana" w:cs="Times New Roman"/>
                <w:color w:val="000000"/>
                <w:sz w:val="22"/>
                <w:szCs w:val="22"/>
              </w:rPr>
            </w:pPr>
            <w:r w:rsidRPr="004C1EC5">
              <w:rPr>
                <w:rFonts w:ascii="Verdana" w:eastAsia="Times New Roman" w:hAnsi="Verdana" w:cs="Times New Roman"/>
                <w:bCs/>
                <w:color w:val="000000"/>
                <w:sz w:val="22"/>
                <w:szCs w:val="22"/>
              </w:rPr>
              <w:t>HIV</w:t>
            </w:r>
          </w:p>
        </w:tc>
        <w:tc>
          <w:tcPr>
            <w:tcW w:w="1851" w:type="dxa"/>
            <w:tcBorders>
              <w:top w:val="nil"/>
              <w:left w:val="nil"/>
              <w:bottom w:val="single" w:sz="8" w:space="0" w:color="auto"/>
              <w:right w:val="single" w:sz="8" w:space="0" w:color="auto"/>
            </w:tcBorders>
            <w:shd w:val="clear" w:color="auto" w:fill="auto"/>
            <w:vAlign w:val="center"/>
            <w:hideMark/>
          </w:tcPr>
          <w:p w14:paraId="4ACE1F54"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0.6</w:t>
            </w:r>
          </w:p>
        </w:tc>
        <w:tc>
          <w:tcPr>
            <w:tcW w:w="1851" w:type="dxa"/>
            <w:tcBorders>
              <w:top w:val="nil"/>
              <w:left w:val="nil"/>
              <w:bottom w:val="single" w:sz="8" w:space="0" w:color="auto"/>
              <w:right w:val="single" w:sz="8" w:space="0" w:color="auto"/>
            </w:tcBorders>
            <w:shd w:val="clear" w:color="auto" w:fill="auto"/>
            <w:vAlign w:val="center"/>
            <w:hideMark/>
          </w:tcPr>
          <w:p w14:paraId="6094C75C"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0.7</w:t>
            </w:r>
          </w:p>
        </w:tc>
        <w:tc>
          <w:tcPr>
            <w:tcW w:w="1851" w:type="dxa"/>
            <w:tcBorders>
              <w:top w:val="nil"/>
              <w:left w:val="nil"/>
              <w:bottom w:val="single" w:sz="8" w:space="0" w:color="auto"/>
              <w:right w:val="single" w:sz="8" w:space="0" w:color="auto"/>
            </w:tcBorders>
            <w:shd w:val="clear" w:color="auto" w:fill="auto"/>
            <w:vAlign w:val="center"/>
            <w:hideMark/>
          </w:tcPr>
          <w:p w14:paraId="46B0F933"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0.4</w:t>
            </w:r>
          </w:p>
        </w:tc>
        <w:tc>
          <w:tcPr>
            <w:tcW w:w="1851" w:type="dxa"/>
            <w:tcBorders>
              <w:top w:val="nil"/>
              <w:left w:val="nil"/>
              <w:bottom w:val="single" w:sz="8" w:space="0" w:color="auto"/>
              <w:right w:val="single" w:sz="8" w:space="0" w:color="auto"/>
            </w:tcBorders>
            <w:shd w:val="clear" w:color="auto" w:fill="auto"/>
            <w:vAlign w:val="center"/>
            <w:hideMark/>
          </w:tcPr>
          <w:p w14:paraId="0E54FF22"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0.5</w:t>
            </w:r>
          </w:p>
        </w:tc>
      </w:tr>
      <w:tr w:rsidR="004C1EC5" w:rsidRPr="004C1EC5" w14:paraId="130BA8D3" w14:textId="77777777" w:rsidTr="00846834">
        <w:trPr>
          <w:trHeight w:val="315"/>
        </w:trPr>
        <w:tc>
          <w:tcPr>
            <w:tcW w:w="1517" w:type="dxa"/>
            <w:tcBorders>
              <w:top w:val="nil"/>
              <w:left w:val="single" w:sz="8" w:space="0" w:color="auto"/>
              <w:bottom w:val="single" w:sz="8" w:space="0" w:color="auto"/>
              <w:right w:val="single" w:sz="8" w:space="0" w:color="auto"/>
            </w:tcBorders>
            <w:shd w:val="clear" w:color="auto" w:fill="auto"/>
            <w:vAlign w:val="center"/>
            <w:hideMark/>
          </w:tcPr>
          <w:p w14:paraId="5884F883" w14:textId="77777777" w:rsidR="004C1EC5" w:rsidRPr="004C1EC5" w:rsidRDefault="004C1EC5" w:rsidP="004C1EC5">
            <w:pPr>
              <w:spacing w:before="0" w:after="0" w:line="240" w:lineRule="auto"/>
              <w:rPr>
                <w:rFonts w:ascii="Verdana" w:eastAsia="Times New Roman" w:hAnsi="Verdana" w:cs="Times New Roman"/>
                <w:color w:val="000000"/>
                <w:sz w:val="22"/>
                <w:szCs w:val="22"/>
              </w:rPr>
            </w:pPr>
            <w:r w:rsidRPr="004C1EC5">
              <w:rPr>
                <w:rFonts w:ascii="Verdana" w:eastAsia="Times New Roman" w:hAnsi="Verdana" w:cs="Times New Roman"/>
                <w:bCs/>
                <w:color w:val="000000"/>
                <w:sz w:val="22"/>
                <w:szCs w:val="22"/>
              </w:rPr>
              <w:t xml:space="preserve">Syphilis </w:t>
            </w:r>
          </w:p>
        </w:tc>
        <w:tc>
          <w:tcPr>
            <w:tcW w:w="1851" w:type="dxa"/>
            <w:tcBorders>
              <w:top w:val="nil"/>
              <w:left w:val="nil"/>
              <w:bottom w:val="single" w:sz="8" w:space="0" w:color="auto"/>
              <w:right w:val="single" w:sz="8" w:space="0" w:color="auto"/>
            </w:tcBorders>
            <w:shd w:val="clear" w:color="auto" w:fill="auto"/>
            <w:vAlign w:val="center"/>
            <w:hideMark/>
          </w:tcPr>
          <w:p w14:paraId="003E9C6D"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0.5</w:t>
            </w:r>
          </w:p>
        </w:tc>
        <w:tc>
          <w:tcPr>
            <w:tcW w:w="1851" w:type="dxa"/>
            <w:tcBorders>
              <w:top w:val="nil"/>
              <w:left w:val="nil"/>
              <w:bottom w:val="single" w:sz="8" w:space="0" w:color="auto"/>
              <w:right w:val="single" w:sz="8" w:space="0" w:color="auto"/>
            </w:tcBorders>
            <w:shd w:val="clear" w:color="auto" w:fill="auto"/>
            <w:vAlign w:val="center"/>
            <w:hideMark/>
          </w:tcPr>
          <w:p w14:paraId="7D03A51C"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1.6</w:t>
            </w:r>
          </w:p>
        </w:tc>
        <w:tc>
          <w:tcPr>
            <w:tcW w:w="1851" w:type="dxa"/>
            <w:tcBorders>
              <w:top w:val="nil"/>
              <w:left w:val="nil"/>
              <w:bottom w:val="single" w:sz="8" w:space="0" w:color="auto"/>
              <w:right w:val="single" w:sz="8" w:space="0" w:color="auto"/>
            </w:tcBorders>
            <w:shd w:val="clear" w:color="auto" w:fill="auto"/>
            <w:vAlign w:val="center"/>
            <w:hideMark/>
          </w:tcPr>
          <w:p w14:paraId="0FE22720"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0.1</w:t>
            </w:r>
          </w:p>
        </w:tc>
        <w:tc>
          <w:tcPr>
            <w:tcW w:w="1851" w:type="dxa"/>
            <w:tcBorders>
              <w:top w:val="nil"/>
              <w:left w:val="nil"/>
              <w:bottom w:val="single" w:sz="8" w:space="0" w:color="auto"/>
              <w:right w:val="single" w:sz="8" w:space="0" w:color="auto"/>
            </w:tcBorders>
            <w:shd w:val="clear" w:color="auto" w:fill="auto"/>
            <w:vAlign w:val="center"/>
            <w:hideMark/>
          </w:tcPr>
          <w:p w14:paraId="7203B38A"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1</w:t>
            </w:r>
          </w:p>
        </w:tc>
      </w:tr>
      <w:tr w:rsidR="004C1EC5" w:rsidRPr="004C1EC5" w14:paraId="6CB8ADBD" w14:textId="77777777" w:rsidTr="00846834">
        <w:trPr>
          <w:trHeight w:val="585"/>
        </w:trPr>
        <w:tc>
          <w:tcPr>
            <w:tcW w:w="1517" w:type="dxa"/>
            <w:tcBorders>
              <w:top w:val="nil"/>
              <w:left w:val="single" w:sz="8" w:space="0" w:color="auto"/>
              <w:bottom w:val="single" w:sz="8" w:space="0" w:color="auto"/>
              <w:right w:val="single" w:sz="8" w:space="0" w:color="auto"/>
            </w:tcBorders>
            <w:shd w:val="clear" w:color="auto" w:fill="auto"/>
            <w:vAlign w:val="center"/>
            <w:hideMark/>
          </w:tcPr>
          <w:p w14:paraId="41586B83" w14:textId="77777777" w:rsidR="004C1EC5" w:rsidRPr="004C1EC5" w:rsidRDefault="004C1EC5" w:rsidP="004C1EC5">
            <w:pPr>
              <w:spacing w:before="0" w:after="0" w:line="240" w:lineRule="auto"/>
              <w:rPr>
                <w:rFonts w:ascii="Verdana" w:eastAsia="Times New Roman" w:hAnsi="Verdana" w:cs="Times New Roman"/>
                <w:color w:val="000000"/>
                <w:sz w:val="22"/>
                <w:szCs w:val="22"/>
              </w:rPr>
            </w:pPr>
            <w:r w:rsidRPr="004C1EC5">
              <w:rPr>
                <w:rFonts w:ascii="Verdana" w:eastAsia="Times New Roman" w:hAnsi="Verdana" w:cs="Times New Roman"/>
                <w:bCs/>
                <w:color w:val="000000"/>
                <w:sz w:val="22"/>
                <w:szCs w:val="22"/>
              </w:rPr>
              <w:t>Hepatitis B</w:t>
            </w:r>
          </w:p>
        </w:tc>
        <w:tc>
          <w:tcPr>
            <w:tcW w:w="1851" w:type="dxa"/>
            <w:tcBorders>
              <w:top w:val="nil"/>
              <w:left w:val="nil"/>
              <w:bottom w:val="single" w:sz="8" w:space="0" w:color="auto"/>
              <w:right w:val="single" w:sz="8" w:space="0" w:color="auto"/>
            </w:tcBorders>
            <w:shd w:val="clear" w:color="auto" w:fill="auto"/>
            <w:vAlign w:val="center"/>
            <w:hideMark/>
          </w:tcPr>
          <w:p w14:paraId="782157A7"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1.3</w:t>
            </w:r>
          </w:p>
        </w:tc>
        <w:tc>
          <w:tcPr>
            <w:tcW w:w="1851" w:type="dxa"/>
            <w:tcBorders>
              <w:top w:val="nil"/>
              <w:left w:val="nil"/>
              <w:bottom w:val="single" w:sz="8" w:space="0" w:color="auto"/>
              <w:right w:val="single" w:sz="8" w:space="0" w:color="auto"/>
            </w:tcBorders>
            <w:shd w:val="clear" w:color="auto" w:fill="auto"/>
            <w:vAlign w:val="center"/>
            <w:hideMark/>
          </w:tcPr>
          <w:p w14:paraId="322CA46B"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1</w:t>
            </w:r>
          </w:p>
        </w:tc>
        <w:tc>
          <w:tcPr>
            <w:tcW w:w="1851" w:type="dxa"/>
            <w:tcBorders>
              <w:top w:val="nil"/>
              <w:left w:val="nil"/>
              <w:bottom w:val="single" w:sz="8" w:space="0" w:color="auto"/>
              <w:right w:val="single" w:sz="8" w:space="0" w:color="auto"/>
            </w:tcBorders>
            <w:shd w:val="clear" w:color="auto" w:fill="auto"/>
            <w:vAlign w:val="center"/>
            <w:hideMark/>
          </w:tcPr>
          <w:p w14:paraId="75AC755C"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0.9</w:t>
            </w:r>
          </w:p>
        </w:tc>
        <w:tc>
          <w:tcPr>
            <w:tcW w:w="1851" w:type="dxa"/>
            <w:tcBorders>
              <w:top w:val="nil"/>
              <w:left w:val="nil"/>
              <w:bottom w:val="single" w:sz="8" w:space="0" w:color="auto"/>
              <w:right w:val="single" w:sz="8" w:space="0" w:color="auto"/>
            </w:tcBorders>
            <w:shd w:val="clear" w:color="auto" w:fill="auto"/>
            <w:vAlign w:val="center"/>
            <w:hideMark/>
          </w:tcPr>
          <w:p w14:paraId="741F381D"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1</w:t>
            </w:r>
          </w:p>
        </w:tc>
      </w:tr>
      <w:tr w:rsidR="004C1EC5" w:rsidRPr="004C1EC5" w14:paraId="5B6FEECC" w14:textId="77777777" w:rsidTr="00846834">
        <w:trPr>
          <w:trHeight w:val="585"/>
        </w:trPr>
        <w:tc>
          <w:tcPr>
            <w:tcW w:w="1517" w:type="dxa"/>
            <w:tcBorders>
              <w:top w:val="nil"/>
              <w:left w:val="single" w:sz="8" w:space="0" w:color="auto"/>
              <w:bottom w:val="single" w:sz="8" w:space="0" w:color="auto"/>
              <w:right w:val="single" w:sz="8" w:space="0" w:color="auto"/>
            </w:tcBorders>
            <w:shd w:val="clear" w:color="auto" w:fill="auto"/>
            <w:vAlign w:val="center"/>
            <w:hideMark/>
          </w:tcPr>
          <w:p w14:paraId="03EE1995" w14:textId="77777777" w:rsidR="004C1EC5" w:rsidRPr="004C1EC5" w:rsidRDefault="004C1EC5" w:rsidP="004C1EC5">
            <w:pPr>
              <w:spacing w:before="0" w:after="0" w:line="240" w:lineRule="auto"/>
              <w:rPr>
                <w:rFonts w:ascii="Verdana" w:eastAsia="Times New Roman" w:hAnsi="Verdana" w:cs="Times New Roman"/>
                <w:color w:val="000000"/>
                <w:sz w:val="22"/>
                <w:szCs w:val="22"/>
              </w:rPr>
            </w:pPr>
            <w:r w:rsidRPr="004C1EC5">
              <w:rPr>
                <w:rFonts w:ascii="Verdana" w:eastAsia="Times New Roman" w:hAnsi="Verdana" w:cs="Times New Roman"/>
                <w:bCs/>
                <w:color w:val="000000"/>
                <w:sz w:val="22"/>
                <w:szCs w:val="22"/>
              </w:rPr>
              <w:t>Hepatitis C</w:t>
            </w:r>
          </w:p>
        </w:tc>
        <w:tc>
          <w:tcPr>
            <w:tcW w:w="1851" w:type="dxa"/>
            <w:tcBorders>
              <w:top w:val="nil"/>
              <w:left w:val="nil"/>
              <w:bottom w:val="single" w:sz="8" w:space="0" w:color="auto"/>
              <w:right w:val="single" w:sz="8" w:space="0" w:color="auto"/>
            </w:tcBorders>
            <w:shd w:val="clear" w:color="auto" w:fill="auto"/>
            <w:vAlign w:val="center"/>
            <w:hideMark/>
          </w:tcPr>
          <w:p w14:paraId="60582E96"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0.2</w:t>
            </w:r>
          </w:p>
        </w:tc>
        <w:tc>
          <w:tcPr>
            <w:tcW w:w="1851" w:type="dxa"/>
            <w:tcBorders>
              <w:top w:val="nil"/>
              <w:left w:val="nil"/>
              <w:bottom w:val="single" w:sz="8" w:space="0" w:color="auto"/>
              <w:right w:val="single" w:sz="8" w:space="0" w:color="auto"/>
            </w:tcBorders>
            <w:shd w:val="clear" w:color="auto" w:fill="auto"/>
            <w:vAlign w:val="center"/>
            <w:hideMark/>
          </w:tcPr>
          <w:p w14:paraId="320018F2"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0.1</w:t>
            </w:r>
          </w:p>
        </w:tc>
        <w:tc>
          <w:tcPr>
            <w:tcW w:w="1851" w:type="dxa"/>
            <w:tcBorders>
              <w:top w:val="nil"/>
              <w:left w:val="nil"/>
              <w:bottom w:val="single" w:sz="8" w:space="0" w:color="auto"/>
              <w:right w:val="single" w:sz="8" w:space="0" w:color="auto"/>
            </w:tcBorders>
            <w:shd w:val="clear" w:color="auto" w:fill="auto"/>
            <w:vAlign w:val="center"/>
            <w:hideMark/>
          </w:tcPr>
          <w:p w14:paraId="48C9B755"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0.3</w:t>
            </w:r>
          </w:p>
        </w:tc>
        <w:tc>
          <w:tcPr>
            <w:tcW w:w="1851" w:type="dxa"/>
            <w:tcBorders>
              <w:top w:val="nil"/>
              <w:left w:val="nil"/>
              <w:bottom w:val="single" w:sz="8" w:space="0" w:color="auto"/>
              <w:right w:val="single" w:sz="8" w:space="0" w:color="auto"/>
            </w:tcBorders>
            <w:shd w:val="clear" w:color="auto" w:fill="auto"/>
            <w:vAlign w:val="center"/>
            <w:hideMark/>
          </w:tcPr>
          <w:p w14:paraId="7D8B134A"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1.6</w:t>
            </w:r>
          </w:p>
        </w:tc>
      </w:tr>
      <w:tr w:rsidR="004C1EC5" w:rsidRPr="004C1EC5" w14:paraId="4A5EE63D" w14:textId="77777777" w:rsidTr="00846834">
        <w:trPr>
          <w:trHeight w:val="315"/>
        </w:trPr>
        <w:tc>
          <w:tcPr>
            <w:tcW w:w="1517" w:type="dxa"/>
            <w:tcBorders>
              <w:top w:val="nil"/>
              <w:left w:val="single" w:sz="8" w:space="0" w:color="auto"/>
              <w:bottom w:val="single" w:sz="8" w:space="0" w:color="auto"/>
              <w:right w:val="single" w:sz="8" w:space="0" w:color="auto"/>
            </w:tcBorders>
            <w:shd w:val="clear" w:color="auto" w:fill="auto"/>
            <w:vAlign w:val="center"/>
            <w:hideMark/>
          </w:tcPr>
          <w:p w14:paraId="7028FE1E" w14:textId="77777777" w:rsidR="004C1EC5" w:rsidRPr="004C1EC5" w:rsidRDefault="004C1EC5" w:rsidP="004C1EC5">
            <w:pPr>
              <w:spacing w:before="0" w:after="0" w:line="240" w:lineRule="auto"/>
              <w:rPr>
                <w:rFonts w:ascii="Verdana" w:eastAsia="Times New Roman" w:hAnsi="Verdana" w:cs="Times New Roman"/>
                <w:color w:val="000000"/>
                <w:sz w:val="22"/>
                <w:szCs w:val="22"/>
              </w:rPr>
            </w:pPr>
            <w:r w:rsidRPr="004C1EC5">
              <w:rPr>
                <w:rFonts w:ascii="Verdana" w:eastAsia="Times New Roman" w:hAnsi="Verdana" w:cs="Times New Roman"/>
                <w:bCs/>
                <w:color w:val="000000"/>
                <w:sz w:val="22"/>
                <w:szCs w:val="22"/>
              </w:rPr>
              <w:t>TV</w:t>
            </w:r>
          </w:p>
        </w:tc>
        <w:tc>
          <w:tcPr>
            <w:tcW w:w="1851" w:type="dxa"/>
            <w:tcBorders>
              <w:top w:val="nil"/>
              <w:left w:val="nil"/>
              <w:bottom w:val="single" w:sz="8" w:space="0" w:color="auto"/>
              <w:right w:val="single" w:sz="8" w:space="0" w:color="auto"/>
            </w:tcBorders>
            <w:shd w:val="clear" w:color="auto" w:fill="auto"/>
            <w:vAlign w:val="center"/>
            <w:hideMark/>
          </w:tcPr>
          <w:p w14:paraId="6FA9C852"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2.3</w:t>
            </w:r>
          </w:p>
        </w:tc>
        <w:tc>
          <w:tcPr>
            <w:tcW w:w="1851" w:type="dxa"/>
            <w:tcBorders>
              <w:top w:val="nil"/>
              <w:left w:val="nil"/>
              <w:bottom w:val="single" w:sz="8" w:space="0" w:color="auto"/>
              <w:right w:val="single" w:sz="8" w:space="0" w:color="auto"/>
            </w:tcBorders>
            <w:shd w:val="clear" w:color="auto" w:fill="auto"/>
            <w:vAlign w:val="center"/>
            <w:hideMark/>
          </w:tcPr>
          <w:p w14:paraId="5F76E2B4"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2.7</w:t>
            </w:r>
          </w:p>
        </w:tc>
        <w:tc>
          <w:tcPr>
            <w:tcW w:w="1851" w:type="dxa"/>
            <w:tcBorders>
              <w:top w:val="nil"/>
              <w:left w:val="nil"/>
              <w:bottom w:val="single" w:sz="8" w:space="0" w:color="auto"/>
              <w:right w:val="single" w:sz="8" w:space="0" w:color="auto"/>
            </w:tcBorders>
            <w:shd w:val="clear" w:color="auto" w:fill="auto"/>
            <w:vAlign w:val="center"/>
            <w:hideMark/>
          </w:tcPr>
          <w:p w14:paraId="6EE40966"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2.6</w:t>
            </w:r>
          </w:p>
        </w:tc>
        <w:tc>
          <w:tcPr>
            <w:tcW w:w="1851" w:type="dxa"/>
            <w:tcBorders>
              <w:top w:val="nil"/>
              <w:left w:val="nil"/>
              <w:bottom w:val="single" w:sz="8" w:space="0" w:color="auto"/>
              <w:right w:val="single" w:sz="8" w:space="0" w:color="auto"/>
            </w:tcBorders>
            <w:shd w:val="clear" w:color="auto" w:fill="auto"/>
            <w:vAlign w:val="center"/>
            <w:hideMark/>
          </w:tcPr>
          <w:p w14:paraId="3D49917B" w14:textId="77777777" w:rsidR="004C1EC5" w:rsidRPr="004C1EC5" w:rsidRDefault="004C1EC5" w:rsidP="004C1EC5">
            <w:pPr>
              <w:spacing w:before="0" w:after="0" w:line="240" w:lineRule="auto"/>
              <w:jc w:val="right"/>
              <w:rPr>
                <w:rFonts w:ascii="Verdana" w:eastAsia="Times New Roman" w:hAnsi="Verdana" w:cs="Times New Roman"/>
                <w:color w:val="000000"/>
                <w:sz w:val="22"/>
                <w:szCs w:val="22"/>
              </w:rPr>
            </w:pPr>
            <w:r w:rsidRPr="004C1EC5">
              <w:rPr>
                <w:rFonts w:ascii="Verdana" w:eastAsia="Times New Roman" w:hAnsi="Verdana" w:cs="Times New Roman"/>
                <w:color w:val="000000"/>
                <w:sz w:val="22"/>
                <w:szCs w:val="22"/>
              </w:rPr>
              <w:t>3.4</w:t>
            </w:r>
          </w:p>
        </w:tc>
      </w:tr>
    </w:tbl>
    <w:p w14:paraId="69EE9ECF" w14:textId="77777777" w:rsidR="0011787F" w:rsidRDefault="0011787F" w:rsidP="0011787F">
      <w:pPr>
        <w:rPr>
          <w:rFonts w:ascii="Verdana" w:hAnsi="Verdana"/>
          <w:sz w:val="22"/>
          <w:szCs w:val="22"/>
        </w:rPr>
      </w:pPr>
    </w:p>
    <w:tbl>
      <w:tblPr>
        <w:tblW w:w="8921" w:type="dxa"/>
        <w:tblInd w:w="118" w:type="dxa"/>
        <w:tblLook w:val="04A0" w:firstRow="1" w:lastRow="0" w:firstColumn="1" w:lastColumn="0" w:noHBand="0" w:noVBand="1"/>
      </w:tblPr>
      <w:tblGrid>
        <w:gridCol w:w="1517"/>
        <w:gridCol w:w="1480"/>
        <w:gridCol w:w="1481"/>
        <w:gridCol w:w="1481"/>
        <w:gridCol w:w="1481"/>
        <w:gridCol w:w="1481"/>
      </w:tblGrid>
      <w:tr w:rsidR="00846834" w:rsidRPr="00846834" w14:paraId="32436850" w14:textId="77777777" w:rsidTr="00846834">
        <w:trPr>
          <w:trHeight w:val="1440"/>
        </w:trPr>
        <w:tc>
          <w:tcPr>
            <w:tcW w:w="1517" w:type="dxa"/>
            <w:tcBorders>
              <w:top w:val="single" w:sz="8" w:space="0" w:color="auto"/>
              <w:left w:val="single" w:sz="8" w:space="0" w:color="auto"/>
              <w:bottom w:val="single" w:sz="8" w:space="0" w:color="auto"/>
              <w:right w:val="single" w:sz="8" w:space="0" w:color="auto"/>
            </w:tcBorders>
            <w:shd w:val="clear" w:color="000000" w:fill="DDF1F3"/>
            <w:vAlign w:val="center"/>
            <w:hideMark/>
          </w:tcPr>
          <w:p w14:paraId="5C656ACC" w14:textId="77777777" w:rsidR="00846834" w:rsidRPr="00846834" w:rsidRDefault="00846834" w:rsidP="00846834">
            <w:pPr>
              <w:spacing w:before="0" w:after="0" w:line="240" w:lineRule="auto"/>
              <w:rPr>
                <w:rFonts w:ascii="Verdana" w:eastAsia="Times New Roman" w:hAnsi="Verdana" w:cs="Times New Roman"/>
                <w:b/>
                <w:bCs/>
                <w:color w:val="000000"/>
                <w:sz w:val="22"/>
                <w:szCs w:val="22"/>
              </w:rPr>
            </w:pPr>
            <w:r w:rsidRPr="00846834">
              <w:rPr>
                <w:rFonts w:ascii="Verdana" w:eastAsia="Times New Roman" w:hAnsi="Verdana" w:cs="Times New Roman"/>
                <w:b/>
                <w:bCs/>
                <w:sz w:val="22"/>
                <w:szCs w:val="22"/>
              </w:rPr>
              <w:t>STI</w:t>
            </w:r>
          </w:p>
        </w:tc>
        <w:tc>
          <w:tcPr>
            <w:tcW w:w="1480" w:type="dxa"/>
            <w:tcBorders>
              <w:top w:val="single" w:sz="8" w:space="0" w:color="auto"/>
              <w:left w:val="nil"/>
              <w:bottom w:val="single" w:sz="8" w:space="0" w:color="auto"/>
              <w:right w:val="single" w:sz="8" w:space="0" w:color="auto"/>
            </w:tcBorders>
            <w:shd w:val="clear" w:color="000000" w:fill="DDF1F3"/>
            <w:vAlign w:val="center"/>
            <w:hideMark/>
          </w:tcPr>
          <w:p w14:paraId="39BEF332" w14:textId="77777777" w:rsidR="00846834" w:rsidRPr="00846834" w:rsidRDefault="00846834" w:rsidP="00846834">
            <w:pPr>
              <w:spacing w:before="0" w:after="0" w:line="240" w:lineRule="auto"/>
              <w:jc w:val="right"/>
              <w:rPr>
                <w:rFonts w:ascii="Verdana" w:eastAsia="Times New Roman" w:hAnsi="Verdana" w:cs="Times New Roman"/>
                <w:b/>
                <w:bCs/>
                <w:color w:val="000000"/>
                <w:sz w:val="22"/>
                <w:szCs w:val="22"/>
              </w:rPr>
            </w:pPr>
            <w:r w:rsidRPr="00846834">
              <w:rPr>
                <w:rFonts w:ascii="Verdana" w:eastAsia="Times New Roman" w:hAnsi="Verdana" w:cs="Times New Roman"/>
                <w:b/>
                <w:bCs/>
                <w:color w:val="000000"/>
                <w:sz w:val="22"/>
                <w:szCs w:val="22"/>
              </w:rPr>
              <w:t xml:space="preserve">Average </w:t>
            </w:r>
          </w:p>
        </w:tc>
        <w:tc>
          <w:tcPr>
            <w:tcW w:w="1481" w:type="dxa"/>
            <w:tcBorders>
              <w:top w:val="single" w:sz="8" w:space="0" w:color="auto"/>
              <w:left w:val="nil"/>
              <w:bottom w:val="single" w:sz="8" w:space="0" w:color="auto"/>
              <w:right w:val="single" w:sz="8" w:space="0" w:color="auto"/>
            </w:tcBorders>
            <w:shd w:val="clear" w:color="000000" w:fill="DDF1F3"/>
            <w:vAlign w:val="center"/>
            <w:hideMark/>
          </w:tcPr>
          <w:p w14:paraId="6D848BE5" w14:textId="77777777" w:rsidR="00846834" w:rsidRPr="00846834" w:rsidRDefault="00846834" w:rsidP="00846834">
            <w:pPr>
              <w:spacing w:before="0" w:after="0" w:line="240" w:lineRule="auto"/>
              <w:jc w:val="right"/>
              <w:rPr>
                <w:rFonts w:ascii="Verdana" w:eastAsia="Times New Roman" w:hAnsi="Verdana" w:cs="Times New Roman"/>
                <w:b/>
                <w:bCs/>
                <w:color w:val="000000"/>
                <w:sz w:val="22"/>
                <w:szCs w:val="22"/>
              </w:rPr>
            </w:pPr>
            <w:r w:rsidRPr="00846834">
              <w:rPr>
                <w:rFonts w:ascii="Verdana" w:eastAsia="Times New Roman" w:hAnsi="Verdana" w:cs="Times New Roman"/>
                <w:b/>
                <w:bCs/>
                <w:color w:val="000000"/>
                <w:sz w:val="22"/>
                <w:szCs w:val="22"/>
              </w:rPr>
              <w:t>African</w:t>
            </w:r>
          </w:p>
        </w:tc>
        <w:tc>
          <w:tcPr>
            <w:tcW w:w="1481" w:type="dxa"/>
            <w:tcBorders>
              <w:top w:val="single" w:sz="8" w:space="0" w:color="auto"/>
              <w:left w:val="nil"/>
              <w:bottom w:val="single" w:sz="8" w:space="0" w:color="auto"/>
              <w:right w:val="single" w:sz="8" w:space="0" w:color="auto"/>
            </w:tcBorders>
            <w:shd w:val="clear" w:color="000000" w:fill="DDF1F3"/>
            <w:vAlign w:val="center"/>
            <w:hideMark/>
          </w:tcPr>
          <w:p w14:paraId="10F7BC04" w14:textId="77777777" w:rsidR="00846834" w:rsidRPr="00846834" w:rsidRDefault="00846834" w:rsidP="00846834">
            <w:pPr>
              <w:spacing w:before="0" w:after="0" w:line="240" w:lineRule="auto"/>
              <w:jc w:val="right"/>
              <w:rPr>
                <w:rFonts w:ascii="Verdana" w:eastAsia="Times New Roman" w:hAnsi="Verdana" w:cs="Times New Roman"/>
                <w:b/>
                <w:bCs/>
                <w:color w:val="000000"/>
                <w:sz w:val="22"/>
                <w:szCs w:val="22"/>
              </w:rPr>
            </w:pPr>
            <w:r w:rsidRPr="00846834">
              <w:rPr>
                <w:rFonts w:ascii="Verdana" w:eastAsia="Times New Roman" w:hAnsi="Verdana" w:cs="Times New Roman"/>
                <w:b/>
                <w:bCs/>
                <w:color w:val="000000"/>
                <w:sz w:val="22"/>
                <w:szCs w:val="22"/>
              </w:rPr>
              <w:t xml:space="preserve">Other Asian  </w:t>
            </w:r>
          </w:p>
        </w:tc>
        <w:tc>
          <w:tcPr>
            <w:tcW w:w="1481" w:type="dxa"/>
            <w:tcBorders>
              <w:top w:val="single" w:sz="8" w:space="0" w:color="auto"/>
              <w:left w:val="nil"/>
              <w:bottom w:val="single" w:sz="8" w:space="0" w:color="auto"/>
              <w:right w:val="single" w:sz="8" w:space="0" w:color="auto"/>
            </w:tcBorders>
            <w:shd w:val="clear" w:color="000000" w:fill="DDF1F3"/>
            <w:vAlign w:val="center"/>
            <w:hideMark/>
          </w:tcPr>
          <w:p w14:paraId="0AF4A79E" w14:textId="77777777" w:rsidR="00846834" w:rsidRPr="00846834" w:rsidRDefault="00846834" w:rsidP="00846834">
            <w:pPr>
              <w:spacing w:before="0" w:after="0" w:line="240" w:lineRule="auto"/>
              <w:jc w:val="right"/>
              <w:rPr>
                <w:rFonts w:ascii="Verdana" w:eastAsia="Times New Roman" w:hAnsi="Verdana" w:cs="Times New Roman"/>
                <w:b/>
                <w:bCs/>
                <w:color w:val="000000"/>
                <w:sz w:val="22"/>
                <w:szCs w:val="22"/>
              </w:rPr>
            </w:pPr>
            <w:r w:rsidRPr="00846834">
              <w:rPr>
                <w:rFonts w:ascii="Verdana" w:eastAsia="Times New Roman" w:hAnsi="Verdana" w:cs="Times New Roman"/>
                <w:b/>
                <w:bCs/>
                <w:color w:val="000000"/>
                <w:sz w:val="22"/>
                <w:szCs w:val="22"/>
              </w:rPr>
              <w:t xml:space="preserve">White and Black African </w:t>
            </w:r>
          </w:p>
        </w:tc>
        <w:tc>
          <w:tcPr>
            <w:tcW w:w="1481" w:type="dxa"/>
            <w:tcBorders>
              <w:top w:val="single" w:sz="8" w:space="0" w:color="auto"/>
              <w:left w:val="nil"/>
              <w:bottom w:val="single" w:sz="8" w:space="0" w:color="auto"/>
              <w:right w:val="single" w:sz="8" w:space="0" w:color="auto"/>
            </w:tcBorders>
            <w:shd w:val="clear" w:color="000000" w:fill="DDF1F3"/>
            <w:vAlign w:val="center"/>
            <w:hideMark/>
          </w:tcPr>
          <w:p w14:paraId="66CF1AC8" w14:textId="77777777" w:rsidR="00846834" w:rsidRPr="00846834" w:rsidRDefault="00846834" w:rsidP="00846834">
            <w:pPr>
              <w:spacing w:before="0" w:after="0" w:line="240" w:lineRule="auto"/>
              <w:jc w:val="right"/>
              <w:rPr>
                <w:rFonts w:ascii="Verdana" w:eastAsia="Times New Roman" w:hAnsi="Verdana" w:cs="Times New Roman"/>
                <w:b/>
                <w:bCs/>
                <w:color w:val="000000"/>
                <w:sz w:val="22"/>
                <w:szCs w:val="22"/>
              </w:rPr>
            </w:pPr>
            <w:r w:rsidRPr="00846834">
              <w:rPr>
                <w:rFonts w:ascii="Verdana" w:eastAsia="Times New Roman" w:hAnsi="Verdana" w:cs="Times New Roman"/>
                <w:b/>
                <w:bCs/>
                <w:color w:val="000000"/>
                <w:sz w:val="22"/>
                <w:szCs w:val="22"/>
              </w:rPr>
              <w:t xml:space="preserve">White and Black Caribbean </w:t>
            </w:r>
          </w:p>
        </w:tc>
      </w:tr>
      <w:tr w:rsidR="00846834" w:rsidRPr="00846834" w14:paraId="6E3BE85C" w14:textId="77777777" w:rsidTr="00846834">
        <w:trPr>
          <w:trHeight w:val="585"/>
        </w:trPr>
        <w:tc>
          <w:tcPr>
            <w:tcW w:w="1517" w:type="dxa"/>
            <w:tcBorders>
              <w:top w:val="nil"/>
              <w:left w:val="single" w:sz="8" w:space="0" w:color="auto"/>
              <w:bottom w:val="single" w:sz="8" w:space="0" w:color="auto"/>
              <w:right w:val="single" w:sz="8" w:space="0" w:color="auto"/>
            </w:tcBorders>
            <w:shd w:val="clear" w:color="auto" w:fill="auto"/>
            <w:vAlign w:val="center"/>
            <w:hideMark/>
          </w:tcPr>
          <w:p w14:paraId="5F058FFD" w14:textId="77777777" w:rsidR="00846834" w:rsidRPr="00846834" w:rsidRDefault="00846834" w:rsidP="00846834">
            <w:pPr>
              <w:spacing w:before="0" w:after="0" w:line="240" w:lineRule="auto"/>
              <w:rPr>
                <w:rFonts w:ascii="Verdana" w:eastAsia="Times New Roman" w:hAnsi="Verdana" w:cs="Times New Roman"/>
                <w:color w:val="000000"/>
                <w:sz w:val="22"/>
                <w:szCs w:val="22"/>
              </w:rPr>
            </w:pPr>
            <w:r w:rsidRPr="00846834">
              <w:rPr>
                <w:rFonts w:ascii="Verdana" w:eastAsia="Times New Roman" w:hAnsi="Verdana" w:cs="Times New Roman"/>
                <w:bCs/>
                <w:color w:val="000000"/>
                <w:sz w:val="22"/>
                <w:szCs w:val="22"/>
              </w:rPr>
              <w:t xml:space="preserve">Chlamydia </w:t>
            </w:r>
          </w:p>
        </w:tc>
        <w:tc>
          <w:tcPr>
            <w:tcW w:w="1480" w:type="dxa"/>
            <w:tcBorders>
              <w:top w:val="nil"/>
              <w:left w:val="nil"/>
              <w:bottom w:val="single" w:sz="8" w:space="0" w:color="auto"/>
              <w:right w:val="single" w:sz="8" w:space="0" w:color="auto"/>
            </w:tcBorders>
            <w:shd w:val="clear" w:color="auto" w:fill="auto"/>
            <w:vAlign w:val="center"/>
            <w:hideMark/>
          </w:tcPr>
          <w:p w14:paraId="7371CF53"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5.7</w:t>
            </w:r>
          </w:p>
        </w:tc>
        <w:tc>
          <w:tcPr>
            <w:tcW w:w="1481" w:type="dxa"/>
            <w:tcBorders>
              <w:top w:val="nil"/>
              <w:left w:val="nil"/>
              <w:bottom w:val="single" w:sz="8" w:space="0" w:color="auto"/>
              <w:right w:val="single" w:sz="8" w:space="0" w:color="auto"/>
            </w:tcBorders>
            <w:shd w:val="clear" w:color="auto" w:fill="auto"/>
            <w:vAlign w:val="center"/>
            <w:hideMark/>
          </w:tcPr>
          <w:p w14:paraId="702B8B00"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7.7</w:t>
            </w:r>
          </w:p>
        </w:tc>
        <w:tc>
          <w:tcPr>
            <w:tcW w:w="1481" w:type="dxa"/>
            <w:tcBorders>
              <w:top w:val="nil"/>
              <w:left w:val="nil"/>
              <w:bottom w:val="single" w:sz="8" w:space="0" w:color="auto"/>
              <w:right w:val="single" w:sz="8" w:space="0" w:color="auto"/>
            </w:tcBorders>
            <w:shd w:val="clear" w:color="auto" w:fill="auto"/>
            <w:vAlign w:val="center"/>
            <w:hideMark/>
          </w:tcPr>
          <w:p w14:paraId="518075E9"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7.5</w:t>
            </w:r>
          </w:p>
        </w:tc>
        <w:tc>
          <w:tcPr>
            <w:tcW w:w="1481" w:type="dxa"/>
            <w:tcBorders>
              <w:top w:val="nil"/>
              <w:left w:val="nil"/>
              <w:bottom w:val="single" w:sz="8" w:space="0" w:color="auto"/>
              <w:right w:val="single" w:sz="8" w:space="0" w:color="auto"/>
            </w:tcBorders>
            <w:shd w:val="clear" w:color="auto" w:fill="auto"/>
            <w:vAlign w:val="center"/>
            <w:hideMark/>
          </w:tcPr>
          <w:p w14:paraId="48384FAC"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8</w:t>
            </w:r>
          </w:p>
        </w:tc>
        <w:tc>
          <w:tcPr>
            <w:tcW w:w="1481" w:type="dxa"/>
            <w:tcBorders>
              <w:top w:val="nil"/>
              <w:left w:val="nil"/>
              <w:bottom w:val="single" w:sz="8" w:space="0" w:color="auto"/>
              <w:right w:val="single" w:sz="8" w:space="0" w:color="auto"/>
            </w:tcBorders>
            <w:shd w:val="clear" w:color="auto" w:fill="auto"/>
            <w:vAlign w:val="center"/>
            <w:hideMark/>
          </w:tcPr>
          <w:p w14:paraId="33556622"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7.1</w:t>
            </w:r>
          </w:p>
        </w:tc>
      </w:tr>
      <w:tr w:rsidR="00846834" w:rsidRPr="00846834" w14:paraId="1CF282E2" w14:textId="77777777" w:rsidTr="00846834">
        <w:trPr>
          <w:trHeight w:val="585"/>
        </w:trPr>
        <w:tc>
          <w:tcPr>
            <w:tcW w:w="1517" w:type="dxa"/>
            <w:tcBorders>
              <w:top w:val="nil"/>
              <w:left w:val="single" w:sz="8" w:space="0" w:color="auto"/>
              <w:bottom w:val="single" w:sz="8" w:space="0" w:color="auto"/>
              <w:right w:val="single" w:sz="8" w:space="0" w:color="auto"/>
            </w:tcBorders>
            <w:shd w:val="clear" w:color="auto" w:fill="auto"/>
            <w:vAlign w:val="center"/>
            <w:hideMark/>
          </w:tcPr>
          <w:p w14:paraId="0B4E129A" w14:textId="77777777" w:rsidR="00846834" w:rsidRPr="00846834" w:rsidRDefault="00846834" w:rsidP="00846834">
            <w:pPr>
              <w:spacing w:before="0" w:after="0" w:line="240" w:lineRule="auto"/>
              <w:rPr>
                <w:rFonts w:ascii="Verdana" w:eastAsia="Times New Roman" w:hAnsi="Verdana" w:cs="Times New Roman"/>
                <w:color w:val="000000"/>
                <w:sz w:val="22"/>
                <w:szCs w:val="22"/>
              </w:rPr>
            </w:pPr>
            <w:r w:rsidRPr="00846834">
              <w:rPr>
                <w:rFonts w:ascii="Verdana" w:eastAsia="Times New Roman" w:hAnsi="Verdana" w:cs="Times New Roman"/>
                <w:bCs/>
                <w:color w:val="000000"/>
                <w:sz w:val="22"/>
                <w:szCs w:val="22"/>
              </w:rPr>
              <w:t xml:space="preserve">Gonorrhoea </w:t>
            </w:r>
          </w:p>
        </w:tc>
        <w:tc>
          <w:tcPr>
            <w:tcW w:w="1480" w:type="dxa"/>
            <w:tcBorders>
              <w:top w:val="nil"/>
              <w:left w:val="nil"/>
              <w:bottom w:val="single" w:sz="8" w:space="0" w:color="auto"/>
              <w:right w:val="single" w:sz="8" w:space="0" w:color="auto"/>
            </w:tcBorders>
            <w:shd w:val="clear" w:color="auto" w:fill="auto"/>
            <w:vAlign w:val="center"/>
            <w:hideMark/>
          </w:tcPr>
          <w:p w14:paraId="4D2C571D"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1</w:t>
            </w:r>
          </w:p>
        </w:tc>
        <w:tc>
          <w:tcPr>
            <w:tcW w:w="1481" w:type="dxa"/>
            <w:tcBorders>
              <w:top w:val="nil"/>
              <w:left w:val="nil"/>
              <w:bottom w:val="single" w:sz="8" w:space="0" w:color="auto"/>
              <w:right w:val="single" w:sz="8" w:space="0" w:color="auto"/>
            </w:tcBorders>
            <w:shd w:val="clear" w:color="auto" w:fill="auto"/>
            <w:vAlign w:val="center"/>
            <w:hideMark/>
          </w:tcPr>
          <w:p w14:paraId="3916E414"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0.5</w:t>
            </w:r>
          </w:p>
        </w:tc>
        <w:tc>
          <w:tcPr>
            <w:tcW w:w="1481" w:type="dxa"/>
            <w:tcBorders>
              <w:top w:val="nil"/>
              <w:left w:val="nil"/>
              <w:bottom w:val="single" w:sz="8" w:space="0" w:color="auto"/>
              <w:right w:val="single" w:sz="8" w:space="0" w:color="auto"/>
            </w:tcBorders>
            <w:shd w:val="clear" w:color="auto" w:fill="auto"/>
            <w:vAlign w:val="center"/>
            <w:hideMark/>
          </w:tcPr>
          <w:p w14:paraId="3E38A65D"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1.2</w:t>
            </w:r>
          </w:p>
        </w:tc>
        <w:tc>
          <w:tcPr>
            <w:tcW w:w="1481" w:type="dxa"/>
            <w:tcBorders>
              <w:top w:val="nil"/>
              <w:left w:val="nil"/>
              <w:bottom w:val="single" w:sz="8" w:space="0" w:color="auto"/>
              <w:right w:val="single" w:sz="8" w:space="0" w:color="auto"/>
            </w:tcBorders>
            <w:shd w:val="clear" w:color="auto" w:fill="auto"/>
            <w:vAlign w:val="center"/>
            <w:hideMark/>
          </w:tcPr>
          <w:p w14:paraId="1E53021F"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1.3</w:t>
            </w:r>
          </w:p>
        </w:tc>
        <w:tc>
          <w:tcPr>
            <w:tcW w:w="1481" w:type="dxa"/>
            <w:tcBorders>
              <w:top w:val="nil"/>
              <w:left w:val="nil"/>
              <w:bottom w:val="single" w:sz="8" w:space="0" w:color="auto"/>
              <w:right w:val="single" w:sz="8" w:space="0" w:color="auto"/>
            </w:tcBorders>
            <w:shd w:val="clear" w:color="auto" w:fill="auto"/>
            <w:vAlign w:val="center"/>
            <w:hideMark/>
          </w:tcPr>
          <w:p w14:paraId="71852BE9"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0.9</w:t>
            </w:r>
          </w:p>
        </w:tc>
      </w:tr>
      <w:tr w:rsidR="00846834" w:rsidRPr="00846834" w14:paraId="715A0189" w14:textId="77777777" w:rsidTr="00846834">
        <w:trPr>
          <w:trHeight w:val="315"/>
        </w:trPr>
        <w:tc>
          <w:tcPr>
            <w:tcW w:w="1517" w:type="dxa"/>
            <w:tcBorders>
              <w:top w:val="nil"/>
              <w:left w:val="single" w:sz="8" w:space="0" w:color="auto"/>
              <w:bottom w:val="single" w:sz="8" w:space="0" w:color="auto"/>
              <w:right w:val="single" w:sz="8" w:space="0" w:color="auto"/>
            </w:tcBorders>
            <w:shd w:val="clear" w:color="auto" w:fill="auto"/>
            <w:vAlign w:val="center"/>
            <w:hideMark/>
          </w:tcPr>
          <w:p w14:paraId="1E93C7AF" w14:textId="77777777" w:rsidR="00846834" w:rsidRPr="00846834" w:rsidRDefault="00846834" w:rsidP="00846834">
            <w:pPr>
              <w:spacing w:before="0" w:after="0" w:line="240" w:lineRule="auto"/>
              <w:rPr>
                <w:rFonts w:ascii="Verdana" w:eastAsia="Times New Roman" w:hAnsi="Verdana" w:cs="Times New Roman"/>
                <w:color w:val="000000"/>
                <w:sz w:val="22"/>
                <w:szCs w:val="22"/>
              </w:rPr>
            </w:pPr>
            <w:r w:rsidRPr="00846834">
              <w:rPr>
                <w:rFonts w:ascii="Verdana" w:eastAsia="Times New Roman" w:hAnsi="Verdana" w:cs="Times New Roman"/>
                <w:bCs/>
                <w:color w:val="000000"/>
                <w:sz w:val="22"/>
                <w:szCs w:val="22"/>
              </w:rPr>
              <w:t>HIV</w:t>
            </w:r>
          </w:p>
        </w:tc>
        <w:tc>
          <w:tcPr>
            <w:tcW w:w="1480" w:type="dxa"/>
            <w:tcBorders>
              <w:top w:val="nil"/>
              <w:left w:val="nil"/>
              <w:bottom w:val="single" w:sz="8" w:space="0" w:color="auto"/>
              <w:right w:val="single" w:sz="8" w:space="0" w:color="auto"/>
            </w:tcBorders>
            <w:shd w:val="clear" w:color="auto" w:fill="auto"/>
            <w:vAlign w:val="center"/>
            <w:hideMark/>
          </w:tcPr>
          <w:p w14:paraId="2660452A"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0.4</w:t>
            </w:r>
          </w:p>
        </w:tc>
        <w:tc>
          <w:tcPr>
            <w:tcW w:w="1481" w:type="dxa"/>
            <w:tcBorders>
              <w:top w:val="nil"/>
              <w:left w:val="nil"/>
              <w:bottom w:val="single" w:sz="8" w:space="0" w:color="auto"/>
              <w:right w:val="single" w:sz="8" w:space="0" w:color="auto"/>
            </w:tcBorders>
            <w:shd w:val="clear" w:color="auto" w:fill="auto"/>
            <w:vAlign w:val="center"/>
            <w:hideMark/>
          </w:tcPr>
          <w:p w14:paraId="564A25C3"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1</w:t>
            </w:r>
          </w:p>
        </w:tc>
        <w:tc>
          <w:tcPr>
            <w:tcW w:w="1481" w:type="dxa"/>
            <w:tcBorders>
              <w:top w:val="nil"/>
              <w:left w:val="nil"/>
              <w:bottom w:val="single" w:sz="8" w:space="0" w:color="auto"/>
              <w:right w:val="single" w:sz="8" w:space="0" w:color="auto"/>
            </w:tcBorders>
            <w:shd w:val="clear" w:color="auto" w:fill="auto"/>
            <w:vAlign w:val="center"/>
            <w:hideMark/>
          </w:tcPr>
          <w:p w14:paraId="75978AF2"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0.1</w:t>
            </w:r>
          </w:p>
        </w:tc>
        <w:tc>
          <w:tcPr>
            <w:tcW w:w="1481" w:type="dxa"/>
            <w:tcBorders>
              <w:top w:val="nil"/>
              <w:left w:val="nil"/>
              <w:bottom w:val="single" w:sz="8" w:space="0" w:color="auto"/>
              <w:right w:val="single" w:sz="8" w:space="0" w:color="auto"/>
            </w:tcBorders>
            <w:shd w:val="clear" w:color="auto" w:fill="auto"/>
            <w:vAlign w:val="center"/>
            <w:hideMark/>
          </w:tcPr>
          <w:p w14:paraId="51BA4F56"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0.2</w:t>
            </w:r>
          </w:p>
        </w:tc>
        <w:tc>
          <w:tcPr>
            <w:tcW w:w="1481" w:type="dxa"/>
            <w:tcBorders>
              <w:top w:val="nil"/>
              <w:left w:val="nil"/>
              <w:bottom w:val="single" w:sz="8" w:space="0" w:color="auto"/>
              <w:right w:val="single" w:sz="8" w:space="0" w:color="auto"/>
            </w:tcBorders>
            <w:shd w:val="clear" w:color="auto" w:fill="auto"/>
            <w:vAlign w:val="center"/>
            <w:hideMark/>
          </w:tcPr>
          <w:p w14:paraId="738285F5"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0.6</w:t>
            </w:r>
          </w:p>
        </w:tc>
      </w:tr>
      <w:tr w:rsidR="00846834" w:rsidRPr="00846834" w14:paraId="2C77D9D0" w14:textId="77777777" w:rsidTr="00846834">
        <w:trPr>
          <w:trHeight w:val="315"/>
        </w:trPr>
        <w:tc>
          <w:tcPr>
            <w:tcW w:w="1517" w:type="dxa"/>
            <w:tcBorders>
              <w:top w:val="nil"/>
              <w:left w:val="single" w:sz="8" w:space="0" w:color="auto"/>
              <w:bottom w:val="single" w:sz="8" w:space="0" w:color="auto"/>
              <w:right w:val="single" w:sz="8" w:space="0" w:color="auto"/>
            </w:tcBorders>
            <w:shd w:val="clear" w:color="auto" w:fill="auto"/>
            <w:vAlign w:val="center"/>
            <w:hideMark/>
          </w:tcPr>
          <w:p w14:paraId="24F9D696" w14:textId="77777777" w:rsidR="00846834" w:rsidRPr="00846834" w:rsidRDefault="00846834" w:rsidP="00846834">
            <w:pPr>
              <w:spacing w:before="0" w:after="0" w:line="240" w:lineRule="auto"/>
              <w:rPr>
                <w:rFonts w:ascii="Verdana" w:eastAsia="Times New Roman" w:hAnsi="Verdana" w:cs="Times New Roman"/>
                <w:color w:val="000000"/>
                <w:sz w:val="22"/>
                <w:szCs w:val="22"/>
              </w:rPr>
            </w:pPr>
            <w:r w:rsidRPr="00846834">
              <w:rPr>
                <w:rFonts w:ascii="Verdana" w:eastAsia="Times New Roman" w:hAnsi="Verdana" w:cs="Times New Roman"/>
                <w:bCs/>
                <w:color w:val="000000"/>
                <w:sz w:val="22"/>
                <w:szCs w:val="22"/>
              </w:rPr>
              <w:lastRenderedPageBreak/>
              <w:t xml:space="preserve">Syphilis </w:t>
            </w:r>
          </w:p>
        </w:tc>
        <w:tc>
          <w:tcPr>
            <w:tcW w:w="1480" w:type="dxa"/>
            <w:tcBorders>
              <w:top w:val="nil"/>
              <w:left w:val="nil"/>
              <w:bottom w:val="single" w:sz="8" w:space="0" w:color="auto"/>
              <w:right w:val="single" w:sz="8" w:space="0" w:color="auto"/>
            </w:tcBorders>
            <w:shd w:val="clear" w:color="auto" w:fill="auto"/>
            <w:vAlign w:val="center"/>
            <w:hideMark/>
          </w:tcPr>
          <w:p w14:paraId="1FAA0F09"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0.3</w:t>
            </w:r>
          </w:p>
        </w:tc>
        <w:tc>
          <w:tcPr>
            <w:tcW w:w="1481" w:type="dxa"/>
            <w:tcBorders>
              <w:top w:val="nil"/>
              <w:left w:val="nil"/>
              <w:bottom w:val="single" w:sz="8" w:space="0" w:color="auto"/>
              <w:right w:val="single" w:sz="8" w:space="0" w:color="auto"/>
            </w:tcBorders>
            <w:shd w:val="clear" w:color="auto" w:fill="auto"/>
            <w:vAlign w:val="center"/>
            <w:hideMark/>
          </w:tcPr>
          <w:p w14:paraId="5A0F9E3D"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w:t>
            </w:r>
          </w:p>
        </w:tc>
        <w:tc>
          <w:tcPr>
            <w:tcW w:w="1481" w:type="dxa"/>
            <w:tcBorders>
              <w:top w:val="nil"/>
              <w:left w:val="nil"/>
              <w:bottom w:val="single" w:sz="8" w:space="0" w:color="auto"/>
              <w:right w:val="single" w:sz="8" w:space="0" w:color="auto"/>
            </w:tcBorders>
            <w:shd w:val="clear" w:color="auto" w:fill="auto"/>
            <w:vAlign w:val="center"/>
            <w:hideMark/>
          </w:tcPr>
          <w:p w14:paraId="24367F6D"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0.6</w:t>
            </w:r>
          </w:p>
        </w:tc>
        <w:tc>
          <w:tcPr>
            <w:tcW w:w="1481" w:type="dxa"/>
            <w:tcBorders>
              <w:top w:val="nil"/>
              <w:left w:val="nil"/>
              <w:bottom w:val="single" w:sz="8" w:space="0" w:color="auto"/>
              <w:right w:val="single" w:sz="8" w:space="0" w:color="auto"/>
            </w:tcBorders>
            <w:shd w:val="clear" w:color="auto" w:fill="auto"/>
            <w:vAlign w:val="center"/>
            <w:hideMark/>
          </w:tcPr>
          <w:p w14:paraId="59C33656"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0.2</w:t>
            </w:r>
          </w:p>
        </w:tc>
        <w:tc>
          <w:tcPr>
            <w:tcW w:w="1481" w:type="dxa"/>
            <w:tcBorders>
              <w:top w:val="nil"/>
              <w:left w:val="nil"/>
              <w:bottom w:val="single" w:sz="8" w:space="0" w:color="auto"/>
              <w:right w:val="single" w:sz="8" w:space="0" w:color="auto"/>
            </w:tcBorders>
            <w:shd w:val="clear" w:color="auto" w:fill="auto"/>
            <w:vAlign w:val="center"/>
            <w:hideMark/>
          </w:tcPr>
          <w:p w14:paraId="310874DC"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0.2</w:t>
            </w:r>
          </w:p>
        </w:tc>
      </w:tr>
      <w:tr w:rsidR="00846834" w:rsidRPr="00846834" w14:paraId="434A6EF5" w14:textId="77777777" w:rsidTr="00846834">
        <w:trPr>
          <w:trHeight w:val="585"/>
        </w:trPr>
        <w:tc>
          <w:tcPr>
            <w:tcW w:w="1517" w:type="dxa"/>
            <w:tcBorders>
              <w:top w:val="nil"/>
              <w:left w:val="single" w:sz="8" w:space="0" w:color="auto"/>
              <w:bottom w:val="single" w:sz="8" w:space="0" w:color="auto"/>
              <w:right w:val="single" w:sz="8" w:space="0" w:color="auto"/>
            </w:tcBorders>
            <w:shd w:val="clear" w:color="auto" w:fill="auto"/>
            <w:vAlign w:val="center"/>
            <w:hideMark/>
          </w:tcPr>
          <w:p w14:paraId="0CEBDBC1" w14:textId="77777777" w:rsidR="00846834" w:rsidRPr="00846834" w:rsidRDefault="00846834" w:rsidP="00846834">
            <w:pPr>
              <w:spacing w:before="0" w:after="0" w:line="240" w:lineRule="auto"/>
              <w:rPr>
                <w:rFonts w:ascii="Verdana" w:eastAsia="Times New Roman" w:hAnsi="Verdana" w:cs="Times New Roman"/>
                <w:color w:val="000000"/>
                <w:sz w:val="22"/>
                <w:szCs w:val="22"/>
              </w:rPr>
            </w:pPr>
            <w:r w:rsidRPr="00846834">
              <w:rPr>
                <w:rFonts w:ascii="Verdana" w:eastAsia="Times New Roman" w:hAnsi="Verdana" w:cs="Times New Roman"/>
                <w:bCs/>
                <w:color w:val="000000"/>
                <w:sz w:val="22"/>
                <w:szCs w:val="22"/>
              </w:rPr>
              <w:t>Hepatitis B</w:t>
            </w:r>
          </w:p>
        </w:tc>
        <w:tc>
          <w:tcPr>
            <w:tcW w:w="1480" w:type="dxa"/>
            <w:tcBorders>
              <w:top w:val="nil"/>
              <w:left w:val="nil"/>
              <w:bottom w:val="single" w:sz="8" w:space="0" w:color="auto"/>
              <w:right w:val="single" w:sz="8" w:space="0" w:color="auto"/>
            </w:tcBorders>
            <w:shd w:val="clear" w:color="auto" w:fill="auto"/>
            <w:vAlign w:val="center"/>
            <w:hideMark/>
          </w:tcPr>
          <w:p w14:paraId="4F5A30C3"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0.8</w:t>
            </w:r>
          </w:p>
        </w:tc>
        <w:tc>
          <w:tcPr>
            <w:tcW w:w="1481" w:type="dxa"/>
            <w:tcBorders>
              <w:top w:val="nil"/>
              <w:left w:val="nil"/>
              <w:bottom w:val="single" w:sz="8" w:space="0" w:color="auto"/>
              <w:right w:val="single" w:sz="8" w:space="0" w:color="auto"/>
            </w:tcBorders>
            <w:shd w:val="clear" w:color="auto" w:fill="auto"/>
            <w:vAlign w:val="center"/>
            <w:hideMark/>
          </w:tcPr>
          <w:p w14:paraId="520D84C7"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1.5</w:t>
            </w:r>
          </w:p>
        </w:tc>
        <w:tc>
          <w:tcPr>
            <w:tcW w:w="1481" w:type="dxa"/>
            <w:tcBorders>
              <w:top w:val="nil"/>
              <w:left w:val="nil"/>
              <w:bottom w:val="single" w:sz="8" w:space="0" w:color="auto"/>
              <w:right w:val="single" w:sz="8" w:space="0" w:color="auto"/>
            </w:tcBorders>
            <w:shd w:val="clear" w:color="auto" w:fill="auto"/>
            <w:vAlign w:val="center"/>
            <w:hideMark/>
          </w:tcPr>
          <w:p w14:paraId="6BAB9B42"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0.7</w:t>
            </w:r>
          </w:p>
        </w:tc>
        <w:tc>
          <w:tcPr>
            <w:tcW w:w="1481" w:type="dxa"/>
            <w:tcBorders>
              <w:top w:val="nil"/>
              <w:left w:val="nil"/>
              <w:bottom w:val="single" w:sz="8" w:space="0" w:color="auto"/>
              <w:right w:val="single" w:sz="8" w:space="0" w:color="auto"/>
            </w:tcBorders>
            <w:shd w:val="clear" w:color="auto" w:fill="auto"/>
            <w:vAlign w:val="center"/>
            <w:hideMark/>
          </w:tcPr>
          <w:p w14:paraId="3170326E"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1</w:t>
            </w:r>
          </w:p>
        </w:tc>
        <w:tc>
          <w:tcPr>
            <w:tcW w:w="1481" w:type="dxa"/>
            <w:tcBorders>
              <w:top w:val="nil"/>
              <w:left w:val="nil"/>
              <w:bottom w:val="single" w:sz="8" w:space="0" w:color="auto"/>
              <w:right w:val="single" w:sz="8" w:space="0" w:color="auto"/>
            </w:tcBorders>
            <w:shd w:val="clear" w:color="auto" w:fill="auto"/>
            <w:vAlign w:val="center"/>
            <w:hideMark/>
          </w:tcPr>
          <w:p w14:paraId="384B7EC0"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1.6</w:t>
            </w:r>
          </w:p>
        </w:tc>
      </w:tr>
      <w:tr w:rsidR="00846834" w:rsidRPr="00846834" w14:paraId="758B8B2D" w14:textId="77777777" w:rsidTr="00846834">
        <w:trPr>
          <w:trHeight w:val="585"/>
        </w:trPr>
        <w:tc>
          <w:tcPr>
            <w:tcW w:w="1517" w:type="dxa"/>
            <w:tcBorders>
              <w:top w:val="nil"/>
              <w:left w:val="single" w:sz="8" w:space="0" w:color="auto"/>
              <w:bottom w:val="single" w:sz="8" w:space="0" w:color="auto"/>
              <w:right w:val="single" w:sz="8" w:space="0" w:color="auto"/>
            </w:tcBorders>
            <w:shd w:val="clear" w:color="auto" w:fill="auto"/>
            <w:vAlign w:val="center"/>
            <w:hideMark/>
          </w:tcPr>
          <w:p w14:paraId="198F735D" w14:textId="77777777" w:rsidR="00846834" w:rsidRPr="00846834" w:rsidRDefault="00846834" w:rsidP="00846834">
            <w:pPr>
              <w:spacing w:before="0" w:after="0" w:line="240" w:lineRule="auto"/>
              <w:rPr>
                <w:rFonts w:ascii="Verdana" w:eastAsia="Times New Roman" w:hAnsi="Verdana" w:cs="Times New Roman"/>
                <w:color w:val="000000"/>
                <w:sz w:val="22"/>
                <w:szCs w:val="22"/>
              </w:rPr>
            </w:pPr>
            <w:r w:rsidRPr="00846834">
              <w:rPr>
                <w:rFonts w:ascii="Verdana" w:eastAsia="Times New Roman" w:hAnsi="Verdana" w:cs="Times New Roman"/>
                <w:bCs/>
                <w:color w:val="000000"/>
                <w:sz w:val="22"/>
                <w:szCs w:val="22"/>
              </w:rPr>
              <w:t>Hepatitis C</w:t>
            </w:r>
          </w:p>
        </w:tc>
        <w:tc>
          <w:tcPr>
            <w:tcW w:w="1480" w:type="dxa"/>
            <w:tcBorders>
              <w:top w:val="nil"/>
              <w:left w:val="nil"/>
              <w:bottom w:val="single" w:sz="8" w:space="0" w:color="auto"/>
              <w:right w:val="single" w:sz="8" w:space="0" w:color="auto"/>
            </w:tcBorders>
            <w:shd w:val="clear" w:color="auto" w:fill="auto"/>
            <w:vAlign w:val="center"/>
            <w:hideMark/>
          </w:tcPr>
          <w:p w14:paraId="2F497FC4"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0.2</w:t>
            </w:r>
          </w:p>
        </w:tc>
        <w:tc>
          <w:tcPr>
            <w:tcW w:w="1481" w:type="dxa"/>
            <w:tcBorders>
              <w:top w:val="nil"/>
              <w:left w:val="nil"/>
              <w:bottom w:val="single" w:sz="8" w:space="0" w:color="auto"/>
              <w:right w:val="single" w:sz="8" w:space="0" w:color="auto"/>
            </w:tcBorders>
            <w:shd w:val="clear" w:color="auto" w:fill="auto"/>
            <w:vAlign w:val="center"/>
            <w:hideMark/>
          </w:tcPr>
          <w:p w14:paraId="31B758E5"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0.4</w:t>
            </w:r>
          </w:p>
        </w:tc>
        <w:tc>
          <w:tcPr>
            <w:tcW w:w="1481" w:type="dxa"/>
            <w:tcBorders>
              <w:top w:val="nil"/>
              <w:left w:val="nil"/>
              <w:bottom w:val="single" w:sz="8" w:space="0" w:color="auto"/>
              <w:right w:val="single" w:sz="8" w:space="0" w:color="auto"/>
            </w:tcBorders>
            <w:shd w:val="clear" w:color="auto" w:fill="auto"/>
            <w:vAlign w:val="center"/>
            <w:hideMark/>
          </w:tcPr>
          <w:p w14:paraId="61DA2919"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0.6</w:t>
            </w:r>
          </w:p>
        </w:tc>
        <w:tc>
          <w:tcPr>
            <w:tcW w:w="1481" w:type="dxa"/>
            <w:tcBorders>
              <w:top w:val="nil"/>
              <w:left w:val="nil"/>
              <w:bottom w:val="single" w:sz="8" w:space="0" w:color="auto"/>
              <w:right w:val="single" w:sz="8" w:space="0" w:color="auto"/>
            </w:tcBorders>
            <w:shd w:val="clear" w:color="auto" w:fill="auto"/>
            <w:vAlign w:val="center"/>
            <w:hideMark/>
          </w:tcPr>
          <w:p w14:paraId="0967911B"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w:t>
            </w:r>
          </w:p>
        </w:tc>
        <w:tc>
          <w:tcPr>
            <w:tcW w:w="1481" w:type="dxa"/>
            <w:tcBorders>
              <w:top w:val="nil"/>
              <w:left w:val="nil"/>
              <w:bottom w:val="single" w:sz="8" w:space="0" w:color="auto"/>
              <w:right w:val="single" w:sz="8" w:space="0" w:color="auto"/>
            </w:tcBorders>
            <w:shd w:val="clear" w:color="auto" w:fill="auto"/>
            <w:vAlign w:val="center"/>
            <w:hideMark/>
          </w:tcPr>
          <w:p w14:paraId="6536774C"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w:t>
            </w:r>
          </w:p>
        </w:tc>
      </w:tr>
      <w:tr w:rsidR="00846834" w:rsidRPr="00846834" w14:paraId="68A1D481" w14:textId="77777777" w:rsidTr="00846834">
        <w:trPr>
          <w:trHeight w:val="315"/>
        </w:trPr>
        <w:tc>
          <w:tcPr>
            <w:tcW w:w="1517" w:type="dxa"/>
            <w:tcBorders>
              <w:top w:val="nil"/>
              <w:left w:val="single" w:sz="8" w:space="0" w:color="auto"/>
              <w:bottom w:val="single" w:sz="8" w:space="0" w:color="auto"/>
              <w:right w:val="single" w:sz="8" w:space="0" w:color="auto"/>
            </w:tcBorders>
            <w:shd w:val="clear" w:color="auto" w:fill="auto"/>
            <w:vAlign w:val="center"/>
            <w:hideMark/>
          </w:tcPr>
          <w:p w14:paraId="0567451F" w14:textId="77777777" w:rsidR="00846834" w:rsidRPr="00846834" w:rsidRDefault="00846834" w:rsidP="00846834">
            <w:pPr>
              <w:spacing w:before="0" w:after="0" w:line="240" w:lineRule="auto"/>
              <w:rPr>
                <w:rFonts w:ascii="Verdana" w:eastAsia="Times New Roman" w:hAnsi="Verdana" w:cs="Times New Roman"/>
                <w:color w:val="000000"/>
                <w:sz w:val="22"/>
                <w:szCs w:val="22"/>
              </w:rPr>
            </w:pPr>
            <w:r w:rsidRPr="00846834">
              <w:rPr>
                <w:rFonts w:ascii="Verdana" w:eastAsia="Times New Roman" w:hAnsi="Verdana" w:cs="Times New Roman"/>
                <w:bCs/>
                <w:color w:val="000000"/>
                <w:sz w:val="22"/>
                <w:szCs w:val="22"/>
              </w:rPr>
              <w:t xml:space="preserve">TV </w:t>
            </w:r>
          </w:p>
        </w:tc>
        <w:tc>
          <w:tcPr>
            <w:tcW w:w="1480" w:type="dxa"/>
            <w:tcBorders>
              <w:top w:val="nil"/>
              <w:left w:val="nil"/>
              <w:bottom w:val="single" w:sz="8" w:space="0" w:color="auto"/>
              <w:right w:val="single" w:sz="8" w:space="0" w:color="auto"/>
            </w:tcBorders>
            <w:shd w:val="clear" w:color="auto" w:fill="auto"/>
            <w:vAlign w:val="center"/>
            <w:hideMark/>
          </w:tcPr>
          <w:p w14:paraId="65D36ED5"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2.4</w:t>
            </w:r>
          </w:p>
        </w:tc>
        <w:tc>
          <w:tcPr>
            <w:tcW w:w="1481" w:type="dxa"/>
            <w:tcBorders>
              <w:top w:val="nil"/>
              <w:left w:val="nil"/>
              <w:bottom w:val="single" w:sz="8" w:space="0" w:color="auto"/>
              <w:right w:val="single" w:sz="8" w:space="0" w:color="auto"/>
            </w:tcBorders>
            <w:shd w:val="clear" w:color="auto" w:fill="auto"/>
            <w:vAlign w:val="center"/>
            <w:hideMark/>
          </w:tcPr>
          <w:p w14:paraId="7B4FC089"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3</w:t>
            </w:r>
          </w:p>
        </w:tc>
        <w:tc>
          <w:tcPr>
            <w:tcW w:w="1481" w:type="dxa"/>
            <w:tcBorders>
              <w:top w:val="nil"/>
              <w:left w:val="nil"/>
              <w:bottom w:val="single" w:sz="8" w:space="0" w:color="auto"/>
              <w:right w:val="single" w:sz="8" w:space="0" w:color="auto"/>
            </w:tcBorders>
            <w:shd w:val="clear" w:color="auto" w:fill="auto"/>
            <w:vAlign w:val="center"/>
            <w:hideMark/>
          </w:tcPr>
          <w:p w14:paraId="3D9A3BD5"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1.2</w:t>
            </w:r>
          </w:p>
        </w:tc>
        <w:tc>
          <w:tcPr>
            <w:tcW w:w="1481" w:type="dxa"/>
            <w:tcBorders>
              <w:top w:val="nil"/>
              <w:left w:val="nil"/>
              <w:bottom w:val="single" w:sz="8" w:space="0" w:color="auto"/>
              <w:right w:val="single" w:sz="8" w:space="0" w:color="auto"/>
            </w:tcBorders>
            <w:shd w:val="clear" w:color="auto" w:fill="auto"/>
            <w:vAlign w:val="center"/>
            <w:hideMark/>
          </w:tcPr>
          <w:p w14:paraId="60F64227"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2.2</w:t>
            </w:r>
          </w:p>
        </w:tc>
        <w:tc>
          <w:tcPr>
            <w:tcW w:w="1481" w:type="dxa"/>
            <w:tcBorders>
              <w:top w:val="nil"/>
              <w:left w:val="nil"/>
              <w:bottom w:val="single" w:sz="8" w:space="0" w:color="auto"/>
              <w:right w:val="single" w:sz="8" w:space="0" w:color="auto"/>
            </w:tcBorders>
            <w:shd w:val="clear" w:color="auto" w:fill="auto"/>
            <w:vAlign w:val="center"/>
            <w:hideMark/>
          </w:tcPr>
          <w:p w14:paraId="6254C1F6"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2.9</w:t>
            </w:r>
          </w:p>
        </w:tc>
      </w:tr>
    </w:tbl>
    <w:p w14:paraId="251A3ED1" w14:textId="77777777" w:rsidR="00846834" w:rsidRDefault="00846834" w:rsidP="0011787F">
      <w:pPr>
        <w:rPr>
          <w:rFonts w:ascii="Verdana" w:hAnsi="Verdana"/>
          <w:sz w:val="22"/>
          <w:szCs w:val="22"/>
        </w:rPr>
      </w:pPr>
    </w:p>
    <w:tbl>
      <w:tblPr>
        <w:tblW w:w="9124" w:type="dxa"/>
        <w:tblInd w:w="118" w:type="dxa"/>
        <w:tblLayout w:type="fixed"/>
        <w:tblLook w:val="04A0" w:firstRow="1" w:lastRow="0" w:firstColumn="1" w:lastColumn="0" w:noHBand="0" w:noVBand="1"/>
      </w:tblPr>
      <w:tblGrid>
        <w:gridCol w:w="1474"/>
        <w:gridCol w:w="1092"/>
        <w:gridCol w:w="1093"/>
        <w:gridCol w:w="1093"/>
        <w:gridCol w:w="1093"/>
        <w:gridCol w:w="1093"/>
        <w:gridCol w:w="1093"/>
        <w:gridCol w:w="1093"/>
      </w:tblGrid>
      <w:tr w:rsidR="00846834" w:rsidRPr="00846834" w14:paraId="271BDC3A" w14:textId="77777777" w:rsidTr="00846834">
        <w:trPr>
          <w:trHeight w:val="1440"/>
        </w:trPr>
        <w:tc>
          <w:tcPr>
            <w:tcW w:w="1474" w:type="dxa"/>
            <w:tcBorders>
              <w:top w:val="single" w:sz="8" w:space="0" w:color="auto"/>
              <w:left w:val="single" w:sz="8" w:space="0" w:color="auto"/>
              <w:bottom w:val="single" w:sz="8" w:space="0" w:color="auto"/>
              <w:right w:val="single" w:sz="8" w:space="0" w:color="auto"/>
            </w:tcBorders>
            <w:shd w:val="clear" w:color="000000" w:fill="DDF1F3"/>
            <w:vAlign w:val="center"/>
            <w:hideMark/>
          </w:tcPr>
          <w:p w14:paraId="1252B6D2" w14:textId="77777777" w:rsidR="00846834" w:rsidRPr="00846834" w:rsidRDefault="00846834" w:rsidP="00846834">
            <w:pPr>
              <w:spacing w:before="0" w:after="0" w:line="240" w:lineRule="auto"/>
              <w:rPr>
                <w:rFonts w:ascii="Verdana" w:eastAsia="Times New Roman" w:hAnsi="Verdana" w:cs="Times New Roman"/>
                <w:b/>
                <w:bCs/>
                <w:color w:val="000000"/>
                <w:sz w:val="22"/>
                <w:szCs w:val="22"/>
              </w:rPr>
            </w:pPr>
            <w:r w:rsidRPr="00846834">
              <w:rPr>
                <w:rFonts w:ascii="Verdana" w:eastAsia="Times New Roman" w:hAnsi="Verdana" w:cs="Times New Roman"/>
                <w:b/>
                <w:bCs/>
                <w:sz w:val="22"/>
                <w:szCs w:val="22"/>
              </w:rPr>
              <w:t>District</w:t>
            </w:r>
          </w:p>
        </w:tc>
        <w:tc>
          <w:tcPr>
            <w:tcW w:w="1092" w:type="dxa"/>
            <w:tcBorders>
              <w:top w:val="single" w:sz="8" w:space="0" w:color="auto"/>
              <w:left w:val="nil"/>
              <w:bottom w:val="single" w:sz="8" w:space="0" w:color="auto"/>
              <w:right w:val="single" w:sz="8" w:space="0" w:color="auto"/>
            </w:tcBorders>
            <w:shd w:val="clear" w:color="000000" w:fill="DDF1F3"/>
            <w:vAlign w:val="center"/>
            <w:hideMark/>
          </w:tcPr>
          <w:p w14:paraId="0A3C4B31" w14:textId="6C58CB28" w:rsidR="00846834" w:rsidRPr="00846834" w:rsidRDefault="00846834" w:rsidP="00846834">
            <w:pPr>
              <w:spacing w:before="0" w:after="0" w:line="240" w:lineRule="auto"/>
              <w:jc w:val="right"/>
              <w:rPr>
                <w:rFonts w:ascii="Verdana" w:eastAsia="Times New Roman" w:hAnsi="Verdana" w:cs="Times New Roman"/>
                <w:b/>
                <w:bCs/>
                <w:color w:val="000000"/>
                <w:sz w:val="22"/>
                <w:szCs w:val="22"/>
              </w:rPr>
            </w:pPr>
            <w:r w:rsidRPr="00846834">
              <w:rPr>
                <w:rFonts w:ascii="Verdana" w:eastAsia="Times New Roman" w:hAnsi="Verdana" w:cs="Times New Roman"/>
                <w:b/>
                <w:bCs/>
                <w:color w:val="000000"/>
                <w:sz w:val="22"/>
                <w:szCs w:val="22"/>
              </w:rPr>
              <w:t>Chlam</w:t>
            </w:r>
            <w:r>
              <w:rPr>
                <w:rFonts w:ascii="Verdana" w:eastAsia="Times New Roman" w:hAnsi="Verdana" w:cs="Times New Roman"/>
                <w:b/>
                <w:bCs/>
                <w:color w:val="000000"/>
                <w:sz w:val="22"/>
                <w:szCs w:val="22"/>
              </w:rPr>
              <w:t>-</w:t>
            </w:r>
            <w:r w:rsidRPr="00846834">
              <w:rPr>
                <w:rFonts w:ascii="Verdana" w:eastAsia="Times New Roman" w:hAnsi="Verdana" w:cs="Times New Roman"/>
                <w:b/>
                <w:bCs/>
                <w:color w:val="000000"/>
                <w:sz w:val="22"/>
                <w:szCs w:val="22"/>
              </w:rPr>
              <w:t>ydia</w:t>
            </w:r>
          </w:p>
        </w:tc>
        <w:tc>
          <w:tcPr>
            <w:tcW w:w="1093" w:type="dxa"/>
            <w:tcBorders>
              <w:top w:val="single" w:sz="8" w:space="0" w:color="auto"/>
              <w:left w:val="nil"/>
              <w:bottom w:val="single" w:sz="8" w:space="0" w:color="auto"/>
              <w:right w:val="single" w:sz="8" w:space="0" w:color="auto"/>
            </w:tcBorders>
            <w:shd w:val="clear" w:color="000000" w:fill="DDF1F3"/>
            <w:vAlign w:val="center"/>
            <w:hideMark/>
          </w:tcPr>
          <w:p w14:paraId="461D536B" w14:textId="2576B15F" w:rsidR="00846834" w:rsidRPr="00846834" w:rsidRDefault="00846834" w:rsidP="00846834">
            <w:pPr>
              <w:spacing w:before="0" w:after="0" w:line="240" w:lineRule="auto"/>
              <w:jc w:val="right"/>
              <w:rPr>
                <w:rFonts w:ascii="Verdana" w:eastAsia="Times New Roman" w:hAnsi="Verdana" w:cs="Times New Roman"/>
                <w:b/>
                <w:bCs/>
                <w:color w:val="000000"/>
                <w:sz w:val="22"/>
                <w:szCs w:val="22"/>
              </w:rPr>
            </w:pPr>
            <w:r w:rsidRPr="00846834">
              <w:rPr>
                <w:rFonts w:ascii="Verdana" w:eastAsia="Times New Roman" w:hAnsi="Verdana" w:cs="Times New Roman"/>
                <w:b/>
                <w:bCs/>
                <w:color w:val="000000"/>
                <w:sz w:val="22"/>
                <w:szCs w:val="22"/>
              </w:rPr>
              <w:t>Gonorr</w:t>
            </w:r>
            <w:r>
              <w:rPr>
                <w:rFonts w:ascii="Verdana" w:eastAsia="Times New Roman" w:hAnsi="Verdana" w:cs="Times New Roman"/>
                <w:b/>
                <w:bCs/>
                <w:color w:val="000000"/>
                <w:sz w:val="22"/>
                <w:szCs w:val="22"/>
              </w:rPr>
              <w:t>-</w:t>
            </w:r>
            <w:r w:rsidRPr="00846834">
              <w:rPr>
                <w:rFonts w:ascii="Verdana" w:eastAsia="Times New Roman" w:hAnsi="Verdana" w:cs="Times New Roman"/>
                <w:b/>
                <w:bCs/>
                <w:color w:val="000000"/>
                <w:sz w:val="22"/>
                <w:szCs w:val="22"/>
              </w:rPr>
              <w:t>hoea</w:t>
            </w:r>
          </w:p>
        </w:tc>
        <w:tc>
          <w:tcPr>
            <w:tcW w:w="1093" w:type="dxa"/>
            <w:tcBorders>
              <w:top w:val="single" w:sz="8" w:space="0" w:color="auto"/>
              <w:left w:val="nil"/>
              <w:bottom w:val="single" w:sz="8" w:space="0" w:color="auto"/>
              <w:right w:val="single" w:sz="8" w:space="0" w:color="auto"/>
            </w:tcBorders>
            <w:shd w:val="clear" w:color="000000" w:fill="DDF1F3"/>
            <w:vAlign w:val="center"/>
            <w:hideMark/>
          </w:tcPr>
          <w:p w14:paraId="6E1607AF" w14:textId="77777777" w:rsidR="00846834" w:rsidRPr="00846834" w:rsidRDefault="00846834" w:rsidP="00846834">
            <w:pPr>
              <w:spacing w:before="0" w:after="0" w:line="240" w:lineRule="auto"/>
              <w:jc w:val="right"/>
              <w:rPr>
                <w:rFonts w:ascii="Verdana" w:eastAsia="Times New Roman" w:hAnsi="Verdana" w:cs="Times New Roman"/>
                <w:b/>
                <w:bCs/>
                <w:color w:val="000000"/>
                <w:sz w:val="22"/>
                <w:szCs w:val="22"/>
              </w:rPr>
            </w:pPr>
            <w:r w:rsidRPr="00846834">
              <w:rPr>
                <w:rFonts w:ascii="Verdana" w:eastAsia="Times New Roman" w:hAnsi="Verdana" w:cs="Times New Roman"/>
                <w:b/>
                <w:bCs/>
                <w:color w:val="000000"/>
                <w:sz w:val="22"/>
                <w:szCs w:val="22"/>
              </w:rPr>
              <w:t>HIV</w:t>
            </w:r>
          </w:p>
        </w:tc>
        <w:tc>
          <w:tcPr>
            <w:tcW w:w="1093" w:type="dxa"/>
            <w:tcBorders>
              <w:top w:val="single" w:sz="8" w:space="0" w:color="auto"/>
              <w:left w:val="nil"/>
              <w:bottom w:val="single" w:sz="8" w:space="0" w:color="auto"/>
              <w:right w:val="single" w:sz="8" w:space="0" w:color="auto"/>
            </w:tcBorders>
            <w:shd w:val="clear" w:color="000000" w:fill="DDF1F3"/>
            <w:vAlign w:val="center"/>
            <w:hideMark/>
          </w:tcPr>
          <w:p w14:paraId="5E31C048" w14:textId="77777777" w:rsidR="00846834" w:rsidRPr="00846834" w:rsidRDefault="00846834" w:rsidP="00846834">
            <w:pPr>
              <w:spacing w:before="0" w:after="0" w:line="240" w:lineRule="auto"/>
              <w:jc w:val="right"/>
              <w:rPr>
                <w:rFonts w:ascii="Verdana" w:eastAsia="Times New Roman" w:hAnsi="Verdana" w:cs="Times New Roman"/>
                <w:b/>
                <w:bCs/>
                <w:color w:val="000000"/>
                <w:sz w:val="22"/>
                <w:szCs w:val="22"/>
              </w:rPr>
            </w:pPr>
            <w:r w:rsidRPr="00846834">
              <w:rPr>
                <w:rFonts w:ascii="Verdana" w:eastAsia="Times New Roman" w:hAnsi="Verdana" w:cs="Times New Roman"/>
                <w:b/>
                <w:bCs/>
                <w:color w:val="000000"/>
                <w:sz w:val="22"/>
                <w:szCs w:val="22"/>
              </w:rPr>
              <w:t>Syphilis</w:t>
            </w:r>
          </w:p>
        </w:tc>
        <w:tc>
          <w:tcPr>
            <w:tcW w:w="1093" w:type="dxa"/>
            <w:tcBorders>
              <w:top w:val="single" w:sz="8" w:space="0" w:color="auto"/>
              <w:left w:val="nil"/>
              <w:bottom w:val="single" w:sz="8" w:space="0" w:color="auto"/>
              <w:right w:val="single" w:sz="8" w:space="0" w:color="auto"/>
            </w:tcBorders>
            <w:shd w:val="clear" w:color="000000" w:fill="DDF1F3"/>
            <w:vAlign w:val="center"/>
            <w:hideMark/>
          </w:tcPr>
          <w:p w14:paraId="35AA5FCD" w14:textId="6DACFC01" w:rsidR="00846834" w:rsidRPr="00846834" w:rsidRDefault="00846834" w:rsidP="00846834">
            <w:pPr>
              <w:spacing w:before="0" w:after="0" w:line="240" w:lineRule="auto"/>
              <w:jc w:val="right"/>
              <w:rPr>
                <w:rFonts w:ascii="Verdana" w:eastAsia="Times New Roman" w:hAnsi="Verdana" w:cs="Times New Roman"/>
                <w:b/>
                <w:bCs/>
                <w:color w:val="000000"/>
                <w:sz w:val="22"/>
                <w:szCs w:val="22"/>
              </w:rPr>
            </w:pPr>
            <w:r w:rsidRPr="00846834">
              <w:rPr>
                <w:rFonts w:ascii="Verdana" w:eastAsia="Times New Roman" w:hAnsi="Verdana" w:cs="Times New Roman"/>
                <w:b/>
                <w:bCs/>
                <w:color w:val="000000"/>
                <w:sz w:val="22"/>
                <w:szCs w:val="22"/>
              </w:rPr>
              <w:t>Hep B</w:t>
            </w:r>
          </w:p>
        </w:tc>
        <w:tc>
          <w:tcPr>
            <w:tcW w:w="1093" w:type="dxa"/>
            <w:tcBorders>
              <w:top w:val="single" w:sz="8" w:space="0" w:color="auto"/>
              <w:left w:val="nil"/>
              <w:bottom w:val="single" w:sz="8" w:space="0" w:color="auto"/>
              <w:right w:val="single" w:sz="8" w:space="0" w:color="auto"/>
            </w:tcBorders>
            <w:shd w:val="clear" w:color="000000" w:fill="DDF1F3"/>
            <w:vAlign w:val="center"/>
            <w:hideMark/>
          </w:tcPr>
          <w:p w14:paraId="642A068D" w14:textId="7258730F" w:rsidR="00846834" w:rsidRPr="00846834" w:rsidRDefault="00846834" w:rsidP="00846834">
            <w:pPr>
              <w:spacing w:before="0" w:after="0" w:line="240" w:lineRule="auto"/>
              <w:jc w:val="right"/>
              <w:rPr>
                <w:rFonts w:ascii="Verdana" w:eastAsia="Times New Roman" w:hAnsi="Verdana" w:cs="Times New Roman"/>
                <w:b/>
                <w:bCs/>
                <w:color w:val="000000"/>
                <w:sz w:val="22"/>
                <w:szCs w:val="22"/>
              </w:rPr>
            </w:pPr>
            <w:r w:rsidRPr="00846834">
              <w:rPr>
                <w:rFonts w:ascii="Verdana" w:eastAsia="Times New Roman" w:hAnsi="Verdana" w:cs="Times New Roman"/>
                <w:b/>
                <w:bCs/>
                <w:color w:val="000000"/>
                <w:sz w:val="22"/>
                <w:szCs w:val="22"/>
              </w:rPr>
              <w:t>Hep C</w:t>
            </w:r>
          </w:p>
        </w:tc>
        <w:tc>
          <w:tcPr>
            <w:tcW w:w="1093" w:type="dxa"/>
            <w:tcBorders>
              <w:top w:val="single" w:sz="8" w:space="0" w:color="auto"/>
              <w:left w:val="nil"/>
              <w:bottom w:val="single" w:sz="8" w:space="0" w:color="auto"/>
              <w:right w:val="single" w:sz="8" w:space="0" w:color="auto"/>
            </w:tcBorders>
            <w:shd w:val="clear" w:color="000000" w:fill="DDF1F3"/>
            <w:vAlign w:val="center"/>
            <w:hideMark/>
          </w:tcPr>
          <w:p w14:paraId="3B4A2936" w14:textId="77777777" w:rsidR="00846834" w:rsidRPr="00846834" w:rsidRDefault="00846834" w:rsidP="00846834">
            <w:pPr>
              <w:spacing w:before="0" w:after="0" w:line="240" w:lineRule="auto"/>
              <w:jc w:val="right"/>
              <w:rPr>
                <w:rFonts w:ascii="Verdana" w:eastAsia="Times New Roman" w:hAnsi="Verdana" w:cs="Times New Roman"/>
                <w:b/>
                <w:bCs/>
                <w:color w:val="000000"/>
                <w:sz w:val="22"/>
                <w:szCs w:val="22"/>
              </w:rPr>
            </w:pPr>
            <w:r w:rsidRPr="00846834">
              <w:rPr>
                <w:rFonts w:ascii="Verdana" w:eastAsia="Times New Roman" w:hAnsi="Verdana" w:cs="Times New Roman"/>
                <w:b/>
                <w:bCs/>
                <w:color w:val="000000"/>
                <w:sz w:val="22"/>
                <w:szCs w:val="22"/>
              </w:rPr>
              <w:t>TV</w:t>
            </w:r>
          </w:p>
        </w:tc>
      </w:tr>
      <w:tr w:rsidR="00846834" w:rsidRPr="00846834" w14:paraId="291884B9" w14:textId="77777777" w:rsidTr="00846834">
        <w:trPr>
          <w:trHeight w:val="585"/>
        </w:trPr>
        <w:tc>
          <w:tcPr>
            <w:tcW w:w="1474" w:type="dxa"/>
            <w:tcBorders>
              <w:top w:val="nil"/>
              <w:left w:val="single" w:sz="8" w:space="0" w:color="auto"/>
              <w:bottom w:val="single" w:sz="8" w:space="0" w:color="auto"/>
              <w:right w:val="single" w:sz="8" w:space="0" w:color="auto"/>
            </w:tcBorders>
            <w:shd w:val="clear" w:color="auto" w:fill="auto"/>
            <w:vAlign w:val="center"/>
            <w:hideMark/>
          </w:tcPr>
          <w:p w14:paraId="72DC6E37" w14:textId="77777777" w:rsidR="00846834" w:rsidRPr="00846834" w:rsidRDefault="00846834" w:rsidP="00846834">
            <w:pPr>
              <w:spacing w:before="0" w:after="0" w:line="240" w:lineRule="auto"/>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Ashford</w:t>
            </w:r>
          </w:p>
        </w:tc>
        <w:tc>
          <w:tcPr>
            <w:tcW w:w="1092" w:type="dxa"/>
            <w:tcBorders>
              <w:top w:val="nil"/>
              <w:left w:val="nil"/>
              <w:bottom w:val="single" w:sz="8" w:space="0" w:color="auto"/>
              <w:right w:val="single" w:sz="8" w:space="0" w:color="auto"/>
            </w:tcBorders>
            <w:shd w:val="clear" w:color="auto" w:fill="auto"/>
            <w:vAlign w:val="center"/>
            <w:hideMark/>
          </w:tcPr>
          <w:p w14:paraId="0D7D2952"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5.8</w:t>
            </w:r>
          </w:p>
        </w:tc>
        <w:tc>
          <w:tcPr>
            <w:tcW w:w="1093" w:type="dxa"/>
            <w:tcBorders>
              <w:top w:val="nil"/>
              <w:left w:val="nil"/>
              <w:bottom w:val="single" w:sz="8" w:space="0" w:color="auto"/>
              <w:right w:val="single" w:sz="8" w:space="0" w:color="auto"/>
            </w:tcBorders>
            <w:shd w:val="clear" w:color="auto" w:fill="auto"/>
            <w:vAlign w:val="center"/>
            <w:hideMark/>
          </w:tcPr>
          <w:p w14:paraId="15A6F3A7"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0.9</w:t>
            </w:r>
          </w:p>
        </w:tc>
        <w:tc>
          <w:tcPr>
            <w:tcW w:w="1093" w:type="dxa"/>
            <w:tcBorders>
              <w:top w:val="nil"/>
              <w:left w:val="nil"/>
              <w:bottom w:val="single" w:sz="8" w:space="0" w:color="auto"/>
              <w:right w:val="single" w:sz="8" w:space="0" w:color="auto"/>
            </w:tcBorders>
            <w:shd w:val="clear" w:color="auto" w:fill="auto"/>
            <w:vAlign w:val="center"/>
            <w:hideMark/>
          </w:tcPr>
          <w:p w14:paraId="40DDFE5F"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0.5</w:t>
            </w:r>
          </w:p>
        </w:tc>
        <w:tc>
          <w:tcPr>
            <w:tcW w:w="1093" w:type="dxa"/>
            <w:tcBorders>
              <w:top w:val="nil"/>
              <w:left w:val="nil"/>
              <w:bottom w:val="single" w:sz="8" w:space="0" w:color="auto"/>
              <w:right w:val="single" w:sz="8" w:space="0" w:color="auto"/>
            </w:tcBorders>
            <w:shd w:val="clear" w:color="auto" w:fill="auto"/>
            <w:vAlign w:val="center"/>
            <w:hideMark/>
          </w:tcPr>
          <w:p w14:paraId="1F745EE7"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0.2</w:t>
            </w:r>
          </w:p>
        </w:tc>
        <w:tc>
          <w:tcPr>
            <w:tcW w:w="1093" w:type="dxa"/>
            <w:tcBorders>
              <w:top w:val="nil"/>
              <w:left w:val="nil"/>
              <w:bottom w:val="single" w:sz="8" w:space="0" w:color="auto"/>
              <w:right w:val="single" w:sz="8" w:space="0" w:color="auto"/>
            </w:tcBorders>
            <w:shd w:val="clear" w:color="auto" w:fill="auto"/>
            <w:vAlign w:val="center"/>
            <w:hideMark/>
          </w:tcPr>
          <w:p w14:paraId="4E6975F8"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0.6</w:t>
            </w:r>
          </w:p>
        </w:tc>
        <w:tc>
          <w:tcPr>
            <w:tcW w:w="1093" w:type="dxa"/>
            <w:tcBorders>
              <w:top w:val="nil"/>
              <w:left w:val="nil"/>
              <w:bottom w:val="single" w:sz="8" w:space="0" w:color="auto"/>
              <w:right w:val="single" w:sz="8" w:space="0" w:color="auto"/>
            </w:tcBorders>
            <w:shd w:val="clear" w:color="auto" w:fill="auto"/>
            <w:vAlign w:val="center"/>
            <w:hideMark/>
          </w:tcPr>
          <w:p w14:paraId="3EDF91D2"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0.5</w:t>
            </w:r>
          </w:p>
        </w:tc>
        <w:tc>
          <w:tcPr>
            <w:tcW w:w="1093" w:type="dxa"/>
            <w:tcBorders>
              <w:top w:val="nil"/>
              <w:left w:val="nil"/>
              <w:bottom w:val="single" w:sz="8" w:space="0" w:color="auto"/>
              <w:right w:val="single" w:sz="8" w:space="0" w:color="auto"/>
            </w:tcBorders>
            <w:shd w:val="clear" w:color="auto" w:fill="auto"/>
            <w:vAlign w:val="center"/>
            <w:hideMark/>
          </w:tcPr>
          <w:p w14:paraId="21EA0041"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1.3</w:t>
            </w:r>
          </w:p>
        </w:tc>
      </w:tr>
      <w:tr w:rsidR="00846834" w:rsidRPr="00846834" w14:paraId="41637977" w14:textId="77777777" w:rsidTr="00846834">
        <w:trPr>
          <w:trHeight w:val="585"/>
        </w:trPr>
        <w:tc>
          <w:tcPr>
            <w:tcW w:w="1474" w:type="dxa"/>
            <w:tcBorders>
              <w:top w:val="nil"/>
              <w:left w:val="single" w:sz="8" w:space="0" w:color="auto"/>
              <w:bottom w:val="single" w:sz="8" w:space="0" w:color="auto"/>
              <w:right w:val="single" w:sz="8" w:space="0" w:color="auto"/>
            </w:tcBorders>
            <w:shd w:val="clear" w:color="auto" w:fill="auto"/>
            <w:vAlign w:val="center"/>
            <w:hideMark/>
          </w:tcPr>
          <w:p w14:paraId="2CA86F25" w14:textId="77777777" w:rsidR="00846834" w:rsidRPr="00846834" w:rsidRDefault="00846834" w:rsidP="00846834">
            <w:pPr>
              <w:spacing w:before="0" w:after="0" w:line="240" w:lineRule="auto"/>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Canterbury</w:t>
            </w:r>
          </w:p>
        </w:tc>
        <w:tc>
          <w:tcPr>
            <w:tcW w:w="1092" w:type="dxa"/>
            <w:tcBorders>
              <w:top w:val="nil"/>
              <w:left w:val="nil"/>
              <w:bottom w:val="single" w:sz="8" w:space="0" w:color="auto"/>
              <w:right w:val="single" w:sz="8" w:space="0" w:color="auto"/>
            </w:tcBorders>
            <w:shd w:val="clear" w:color="auto" w:fill="auto"/>
            <w:vAlign w:val="center"/>
            <w:hideMark/>
          </w:tcPr>
          <w:p w14:paraId="54BCB249"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6.5</w:t>
            </w:r>
          </w:p>
        </w:tc>
        <w:tc>
          <w:tcPr>
            <w:tcW w:w="1093" w:type="dxa"/>
            <w:tcBorders>
              <w:top w:val="nil"/>
              <w:left w:val="nil"/>
              <w:bottom w:val="single" w:sz="8" w:space="0" w:color="auto"/>
              <w:right w:val="single" w:sz="8" w:space="0" w:color="auto"/>
            </w:tcBorders>
            <w:shd w:val="clear" w:color="auto" w:fill="auto"/>
            <w:vAlign w:val="center"/>
            <w:hideMark/>
          </w:tcPr>
          <w:p w14:paraId="66107E2C"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0.9</w:t>
            </w:r>
          </w:p>
        </w:tc>
        <w:tc>
          <w:tcPr>
            <w:tcW w:w="1093" w:type="dxa"/>
            <w:tcBorders>
              <w:top w:val="nil"/>
              <w:left w:val="nil"/>
              <w:bottom w:val="single" w:sz="8" w:space="0" w:color="auto"/>
              <w:right w:val="single" w:sz="8" w:space="0" w:color="auto"/>
            </w:tcBorders>
            <w:shd w:val="clear" w:color="auto" w:fill="auto"/>
            <w:vAlign w:val="center"/>
            <w:hideMark/>
          </w:tcPr>
          <w:p w14:paraId="21C54E27"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0.5</w:t>
            </w:r>
          </w:p>
        </w:tc>
        <w:tc>
          <w:tcPr>
            <w:tcW w:w="1093" w:type="dxa"/>
            <w:tcBorders>
              <w:top w:val="nil"/>
              <w:left w:val="nil"/>
              <w:bottom w:val="single" w:sz="8" w:space="0" w:color="auto"/>
              <w:right w:val="single" w:sz="8" w:space="0" w:color="auto"/>
            </w:tcBorders>
            <w:shd w:val="clear" w:color="auto" w:fill="auto"/>
            <w:vAlign w:val="center"/>
            <w:hideMark/>
          </w:tcPr>
          <w:p w14:paraId="295404C9"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0.2</w:t>
            </w:r>
          </w:p>
        </w:tc>
        <w:tc>
          <w:tcPr>
            <w:tcW w:w="1093" w:type="dxa"/>
            <w:tcBorders>
              <w:top w:val="nil"/>
              <w:left w:val="nil"/>
              <w:bottom w:val="single" w:sz="8" w:space="0" w:color="auto"/>
              <w:right w:val="single" w:sz="8" w:space="0" w:color="auto"/>
            </w:tcBorders>
            <w:shd w:val="clear" w:color="auto" w:fill="auto"/>
            <w:vAlign w:val="center"/>
            <w:hideMark/>
          </w:tcPr>
          <w:p w14:paraId="17486BF6"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0.7</w:t>
            </w:r>
          </w:p>
        </w:tc>
        <w:tc>
          <w:tcPr>
            <w:tcW w:w="1093" w:type="dxa"/>
            <w:tcBorders>
              <w:top w:val="nil"/>
              <w:left w:val="nil"/>
              <w:bottom w:val="single" w:sz="8" w:space="0" w:color="auto"/>
              <w:right w:val="single" w:sz="8" w:space="0" w:color="auto"/>
            </w:tcBorders>
            <w:shd w:val="clear" w:color="auto" w:fill="auto"/>
            <w:vAlign w:val="center"/>
            <w:hideMark/>
          </w:tcPr>
          <w:p w14:paraId="50628725"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0.1</w:t>
            </w:r>
          </w:p>
        </w:tc>
        <w:tc>
          <w:tcPr>
            <w:tcW w:w="1093" w:type="dxa"/>
            <w:tcBorders>
              <w:top w:val="nil"/>
              <w:left w:val="nil"/>
              <w:bottom w:val="single" w:sz="8" w:space="0" w:color="auto"/>
              <w:right w:val="single" w:sz="8" w:space="0" w:color="auto"/>
            </w:tcBorders>
            <w:shd w:val="clear" w:color="auto" w:fill="auto"/>
            <w:vAlign w:val="center"/>
            <w:hideMark/>
          </w:tcPr>
          <w:p w14:paraId="6EE77AEB"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1.3</w:t>
            </w:r>
          </w:p>
        </w:tc>
      </w:tr>
      <w:tr w:rsidR="00846834" w:rsidRPr="00846834" w14:paraId="6A600F3D" w14:textId="77777777" w:rsidTr="00846834">
        <w:trPr>
          <w:trHeight w:val="585"/>
        </w:trPr>
        <w:tc>
          <w:tcPr>
            <w:tcW w:w="1474" w:type="dxa"/>
            <w:tcBorders>
              <w:top w:val="nil"/>
              <w:left w:val="single" w:sz="8" w:space="0" w:color="auto"/>
              <w:bottom w:val="single" w:sz="8" w:space="0" w:color="auto"/>
              <w:right w:val="single" w:sz="8" w:space="0" w:color="auto"/>
            </w:tcBorders>
            <w:shd w:val="clear" w:color="auto" w:fill="auto"/>
            <w:vAlign w:val="center"/>
            <w:hideMark/>
          </w:tcPr>
          <w:p w14:paraId="203799E2" w14:textId="77777777" w:rsidR="00846834" w:rsidRPr="00846834" w:rsidRDefault="00846834" w:rsidP="00846834">
            <w:pPr>
              <w:spacing w:before="0" w:after="0" w:line="240" w:lineRule="auto"/>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Dartford</w:t>
            </w:r>
          </w:p>
        </w:tc>
        <w:tc>
          <w:tcPr>
            <w:tcW w:w="1092" w:type="dxa"/>
            <w:tcBorders>
              <w:top w:val="nil"/>
              <w:left w:val="nil"/>
              <w:bottom w:val="single" w:sz="8" w:space="0" w:color="auto"/>
              <w:right w:val="single" w:sz="8" w:space="0" w:color="auto"/>
            </w:tcBorders>
            <w:shd w:val="clear" w:color="auto" w:fill="auto"/>
            <w:vAlign w:val="center"/>
            <w:hideMark/>
          </w:tcPr>
          <w:p w14:paraId="101729CD"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5.3</w:t>
            </w:r>
          </w:p>
        </w:tc>
        <w:tc>
          <w:tcPr>
            <w:tcW w:w="1093" w:type="dxa"/>
            <w:tcBorders>
              <w:top w:val="nil"/>
              <w:left w:val="nil"/>
              <w:bottom w:val="single" w:sz="8" w:space="0" w:color="auto"/>
              <w:right w:val="single" w:sz="8" w:space="0" w:color="auto"/>
            </w:tcBorders>
            <w:shd w:val="clear" w:color="auto" w:fill="auto"/>
            <w:vAlign w:val="center"/>
            <w:hideMark/>
          </w:tcPr>
          <w:p w14:paraId="63AB67E0"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0.9</w:t>
            </w:r>
          </w:p>
        </w:tc>
        <w:tc>
          <w:tcPr>
            <w:tcW w:w="1093" w:type="dxa"/>
            <w:tcBorders>
              <w:top w:val="nil"/>
              <w:left w:val="nil"/>
              <w:bottom w:val="single" w:sz="8" w:space="0" w:color="auto"/>
              <w:right w:val="single" w:sz="8" w:space="0" w:color="auto"/>
            </w:tcBorders>
            <w:shd w:val="clear" w:color="auto" w:fill="auto"/>
            <w:vAlign w:val="center"/>
            <w:hideMark/>
          </w:tcPr>
          <w:p w14:paraId="41BCE460"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0.6</w:t>
            </w:r>
          </w:p>
        </w:tc>
        <w:tc>
          <w:tcPr>
            <w:tcW w:w="1093" w:type="dxa"/>
            <w:tcBorders>
              <w:top w:val="nil"/>
              <w:left w:val="nil"/>
              <w:bottom w:val="single" w:sz="8" w:space="0" w:color="auto"/>
              <w:right w:val="single" w:sz="8" w:space="0" w:color="auto"/>
            </w:tcBorders>
            <w:shd w:val="clear" w:color="auto" w:fill="auto"/>
            <w:vAlign w:val="center"/>
            <w:hideMark/>
          </w:tcPr>
          <w:p w14:paraId="06921537"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0.3</w:t>
            </w:r>
          </w:p>
        </w:tc>
        <w:tc>
          <w:tcPr>
            <w:tcW w:w="1093" w:type="dxa"/>
            <w:tcBorders>
              <w:top w:val="nil"/>
              <w:left w:val="nil"/>
              <w:bottom w:val="single" w:sz="8" w:space="0" w:color="auto"/>
              <w:right w:val="single" w:sz="8" w:space="0" w:color="auto"/>
            </w:tcBorders>
            <w:shd w:val="clear" w:color="auto" w:fill="auto"/>
            <w:vAlign w:val="center"/>
            <w:hideMark/>
          </w:tcPr>
          <w:p w14:paraId="2D448665"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1</w:t>
            </w:r>
          </w:p>
        </w:tc>
        <w:tc>
          <w:tcPr>
            <w:tcW w:w="1093" w:type="dxa"/>
            <w:tcBorders>
              <w:top w:val="nil"/>
              <w:left w:val="nil"/>
              <w:bottom w:val="single" w:sz="8" w:space="0" w:color="auto"/>
              <w:right w:val="single" w:sz="8" w:space="0" w:color="auto"/>
            </w:tcBorders>
            <w:shd w:val="clear" w:color="auto" w:fill="auto"/>
            <w:vAlign w:val="center"/>
            <w:hideMark/>
          </w:tcPr>
          <w:p w14:paraId="38E498FF"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0.6</w:t>
            </w:r>
          </w:p>
        </w:tc>
        <w:tc>
          <w:tcPr>
            <w:tcW w:w="1093" w:type="dxa"/>
            <w:tcBorders>
              <w:top w:val="nil"/>
              <w:left w:val="nil"/>
              <w:bottom w:val="single" w:sz="8" w:space="0" w:color="auto"/>
              <w:right w:val="single" w:sz="8" w:space="0" w:color="auto"/>
            </w:tcBorders>
            <w:shd w:val="clear" w:color="auto" w:fill="auto"/>
            <w:vAlign w:val="center"/>
            <w:hideMark/>
          </w:tcPr>
          <w:p w14:paraId="34CE5357"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3.2</w:t>
            </w:r>
          </w:p>
        </w:tc>
      </w:tr>
      <w:tr w:rsidR="00846834" w:rsidRPr="00846834" w14:paraId="1C7EC940" w14:textId="77777777" w:rsidTr="00846834">
        <w:trPr>
          <w:trHeight w:val="315"/>
        </w:trPr>
        <w:tc>
          <w:tcPr>
            <w:tcW w:w="1474" w:type="dxa"/>
            <w:tcBorders>
              <w:top w:val="nil"/>
              <w:left w:val="single" w:sz="8" w:space="0" w:color="auto"/>
              <w:bottom w:val="single" w:sz="8" w:space="0" w:color="auto"/>
              <w:right w:val="single" w:sz="8" w:space="0" w:color="auto"/>
            </w:tcBorders>
            <w:shd w:val="clear" w:color="auto" w:fill="auto"/>
            <w:vAlign w:val="center"/>
            <w:hideMark/>
          </w:tcPr>
          <w:p w14:paraId="023580D0" w14:textId="77777777" w:rsidR="00846834" w:rsidRPr="00846834" w:rsidRDefault="00846834" w:rsidP="00846834">
            <w:pPr>
              <w:spacing w:before="0" w:after="0" w:line="240" w:lineRule="auto"/>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Dover</w:t>
            </w:r>
          </w:p>
        </w:tc>
        <w:tc>
          <w:tcPr>
            <w:tcW w:w="1092" w:type="dxa"/>
            <w:tcBorders>
              <w:top w:val="nil"/>
              <w:left w:val="nil"/>
              <w:bottom w:val="single" w:sz="8" w:space="0" w:color="auto"/>
              <w:right w:val="single" w:sz="8" w:space="0" w:color="auto"/>
            </w:tcBorders>
            <w:shd w:val="clear" w:color="auto" w:fill="auto"/>
            <w:vAlign w:val="center"/>
            <w:hideMark/>
          </w:tcPr>
          <w:p w14:paraId="599B6362"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5.9</w:t>
            </w:r>
          </w:p>
        </w:tc>
        <w:tc>
          <w:tcPr>
            <w:tcW w:w="1093" w:type="dxa"/>
            <w:tcBorders>
              <w:top w:val="nil"/>
              <w:left w:val="nil"/>
              <w:bottom w:val="single" w:sz="8" w:space="0" w:color="auto"/>
              <w:right w:val="single" w:sz="8" w:space="0" w:color="auto"/>
            </w:tcBorders>
            <w:shd w:val="clear" w:color="auto" w:fill="auto"/>
            <w:vAlign w:val="center"/>
            <w:hideMark/>
          </w:tcPr>
          <w:p w14:paraId="39408CCF"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1.1</w:t>
            </w:r>
          </w:p>
        </w:tc>
        <w:tc>
          <w:tcPr>
            <w:tcW w:w="1093" w:type="dxa"/>
            <w:tcBorders>
              <w:top w:val="nil"/>
              <w:left w:val="nil"/>
              <w:bottom w:val="single" w:sz="8" w:space="0" w:color="auto"/>
              <w:right w:val="single" w:sz="8" w:space="0" w:color="auto"/>
            </w:tcBorders>
            <w:shd w:val="clear" w:color="auto" w:fill="auto"/>
            <w:vAlign w:val="center"/>
            <w:hideMark/>
          </w:tcPr>
          <w:p w14:paraId="7C66A262"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0.3</w:t>
            </w:r>
          </w:p>
        </w:tc>
        <w:tc>
          <w:tcPr>
            <w:tcW w:w="1093" w:type="dxa"/>
            <w:tcBorders>
              <w:top w:val="nil"/>
              <w:left w:val="nil"/>
              <w:bottom w:val="single" w:sz="8" w:space="0" w:color="auto"/>
              <w:right w:val="single" w:sz="8" w:space="0" w:color="auto"/>
            </w:tcBorders>
            <w:shd w:val="clear" w:color="auto" w:fill="auto"/>
            <w:vAlign w:val="center"/>
            <w:hideMark/>
          </w:tcPr>
          <w:p w14:paraId="08708ADB"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0.3</w:t>
            </w:r>
          </w:p>
        </w:tc>
        <w:tc>
          <w:tcPr>
            <w:tcW w:w="1093" w:type="dxa"/>
            <w:tcBorders>
              <w:top w:val="nil"/>
              <w:left w:val="nil"/>
              <w:bottom w:val="single" w:sz="8" w:space="0" w:color="auto"/>
              <w:right w:val="single" w:sz="8" w:space="0" w:color="auto"/>
            </w:tcBorders>
            <w:shd w:val="clear" w:color="auto" w:fill="auto"/>
            <w:vAlign w:val="center"/>
            <w:hideMark/>
          </w:tcPr>
          <w:p w14:paraId="608BB3C5"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0.8</w:t>
            </w:r>
          </w:p>
        </w:tc>
        <w:tc>
          <w:tcPr>
            <w:tcW w:w="1093" w:type="dxa"/>
            <w:tcBorders>
              <w:top w:val="nil"/>
              <w:left w:val="nil"/>
              <w:bottom w:val="single" w:sz="8" w:space="0" w:color="auto"/>
              <w:right w:val="single" w:sz="8" w:space="0" w:color="auto"/>
            </w:tcBorders>
            <w:shd w:val="clear" w:color="auto" w:fill="auto"/>
            <w:vAlign w:val="center"/>
            <w:hideMark/>
          </w:tcPr>
          <w:p w14:paraId="6A7C7FF4"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w:t>
            </w:r>
          </w:p>
        </w:tc>
        <w:tc>
          <w:tcPr>
            <w:tcW w:w="1093" w:type="dxa"/>
            <w:tcBorders>
              <w:top w:val="nil"/>
              <w:left w:val="nil"/>
              <w:bottom w:val="single" w:sz="8" w:space="0" w:color="auto"/>
              <w:right w:val="single" w:sz="8" w:space="0" w:color="auto"/>
            </w:tcBorders>
            <w:shd w:val="clear" w:color="auto" w:fill="auto"/>
            <w:vAlign w:val="center"/>
            <w:hideMark/>
          </w:tcPr>
          <w:p w14:paraId="4545A95A"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2.9</w:t>
            </w:r>
          </w:p>
        </w:tc>
      </w:tr>
      <w:tr w:rsidR="00846834" w:rsidRPr="00846834" w14:paraId="301B8093" w14:textId="77777777" w:rsidTr="00846834">
        <w:trPr>
          <w:trHeight w:val="585"/>
        </w:trPr>
        <w:tc>
          <w:tcPr>
            <w:tcW w:w="1474" w:type="dxa"/>
            <w:tcBorders>
              <w:top w:val="nil"/>
              <w:left w:val="single" w:sz="8" w:space="0" w:color="auto"/>
              <w:bottom w:val="single" w:sz="8" w:space="0" w:color="auto"/>
              <w:right w:val="single" w:sz="8" w:space="0" w:color="auto"/>
            </w:tcBorders>
            <w:shd w:val="clear" w:color="auto" w:fill="auto"/>
            <w:vAlign w:val="center"/>
            <w:hideMark/>
          </w:tcPr>
          <w:p w14:paraId="46FB50C6" w14:textId="77777777" w:rsidR="00846834" w:rsidRPr="00846834" w:rsidRDefault="00846834" w:rsidP="00846834">
            <w:pPr>
              <w:spacing w:before="0" w:after="0" w:line="240" w:lineRule="auto"/>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Gravesham</w:t>
            </w:r>
          </w:p>
        </w:tc>
        <w:tc>
          <w:tcPr>
            <w:tcW w:w="1092" w:type="dxa"/>
            <w:tcBorders>
              <w:top w:val="nil"/>
              <w:left w:val="nil"/>
              <w:bottom w:val="single" w:sz="8" w:space="0" w:color="auto"/>
              <w:right w:val="single" w:sz="8" w:space="0" w:color="auto"/>
            </w:tcBorders>
            <w:shd w:val="clear" w:color="auto" w:fill="auto"/>
            <w:vAlign w:val="center"/>
            <w:hideMark/>
          </w:tcPr>
          <w:p w14:paraId="3256A26F"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5.1</w:t>
            </w:r>
          </w:p>
        </w:tc>
        <w:tc>
          <w:tcPr>
            <w:tcW w:w="1093" w:type="dxa"/>
            <w:tcBorders>
              <w:top w:val="nil"/>
              <w:left w:val="nil"/>
              <w:bottom w:val="single" w:sz="8" w:space="0" w:color="auto"/>
              <w:right w:val="single" w:sz="8" w:space="0" w:color="auto"/>
            </w:tcBorders>
            <w:shd w:val="clear" w:color="auto" w:fill="auto"/>
            <w:vAlign w:val="center"/>
            <w:hideMark/>
          </w:tcPr>
          <w:p w14:paraId="40A24262"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1</w:t>
            </w:r>
          </w:p>
        </w:tc>
        <w:tc>
          <w:tcPr>
            <w:tcW w:w="1093" w:type="dxa"/>
            <w:tcBorders>
              <w:top w:val="nil"/>
              <w:left w:val="nil"/>
              <w:bottom w:val="single" w:sz="8" w:space="0" w:color="auto"/>
              <w:right w:val="single" w:sz="8" w:space="0" w:color="auto"/>
            </w:tcBorders>
            <w:shd w:val="clear" w:color="auto" w:fill="auto"/>
            <w:vAlign w:val="center"/>
            <w:hideMark/>
          </w:tcPr>
          <w:p w14:paraId="2BD97D13"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0.4</w:t>
            </w:r>
          </w:p>
        </w:tc>
        <w:tc>
          <w:tcPr>
            <w:tcW w:w="1093" w:type="dxa"/>
            <w:tcBorders>
              <w:top w:val="nil"/>
              <w:left w:val="nil"/>
              <w:bottom w:val="single" w:sz="8" w:space="0" w:color="auto"/>
              <w:right w:val="single" w:sz="8" w:space="0" w:color="auto"/>
            </w:tcBorders>
            <w:shd w:val="clear" w:color="auto" w:fill="auto"/>
            <w:vAlign w:val="center"/>
            <w:hideMark/>
          </w:tcPr>
          <w:p w14:paraId="51A002B7"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0.2</w:t>
            </w:r>
          </w:p>
        </w:tc>
        <w:tc>
          <w:tcPr>
            <w:tcW w:w="1093" w:type="dxa"/>
            <w:tcBorders>
              <w:top w:val="nil"/>
              <w:left w:val="nil"/>
              <w:bottom w:val="single" w:sz="8" w:space="0" w:color="auto"/>
              <w:right w:val="single" w:sz="8" w:space="0" w:color="auto"/>
            </w:tcBorders>
            <w:shd w:val="clear" w:color="auto" w:fill="auto"/>
            <w:vAlign w:val="center"/>
            <w:hideMark/>
          </w:tcPr>
          <w:p w14:paraId="029504E5"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2.4</w:t>
            </w:r>
          </w:p>
        </w:tc>
        <w:tc>
          <w:tcPr>
            <w:tcW w:w="1093" w:type="dxa"/>
            <w:tcBorders>
              <w:top w:val="nil"/>
              <w:left w:val="nil"/>
              <w:bottom w:val="single" w:sz="8" w:space="0" w:color="auto"/>
              <w:right w:val="single" w:sz="8" w:space="0" w:color="auto"/>
            </w:tcBorders>
            <w:shd w:val="clear" w:color="auto" w:fill="auto"/>
            <w:vAlign w:val="center"/>
            <w:hideMark/>
          </w:tcPr>
          <w:p w14:paraId="29E97393"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w:t>
            </w:r>
          </w:p>
        </w:tc>
        <w:tc>
          <w:tcPr>
            <w:tcW w:w="1093" w:type="dxa"/>
            <w:tcBorders>
              <w:top w:val="nil"/>
              <w:left w:val="nil"/>
              <w:bottom w:val="single" w:sz="8" w:space="0" w:color="auto"/>
              <w:right w:val="single" w:sz="8" w:space="0" w:color="auto"/>
            </w:tcBorders>
            <w:shd w:val="clear" w:color="auto" w:fill="auto"/>
            <w:vAlign w:val="center"/>
            <w:hideMark/>
          </w:tcPr>
          <w:p w14:paraId="7C039296"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3.6</w:t>
            </w:r>
          </w:p>
        </w:tc>
      </w:tr>
      <w:tr w:rsidR="00846834" w:rsidRPr="00846834" w14:paraId="05D1B53A" w14:textId="77777777" w:rsidTr="00846834">
        <w:trPr>
          <w:trHeight w:val="585"/>
        </w:trPr>
        <w:tc>
          <w:tcPr>
            <w:tcW w:w="1474" w:type="dxa"/>
            <w:tcBorders>
              <w:top w:val="nil"/>
              <w:left w:val="single" w:sz="8" w:space="0" w:color="auto"/>
              <w:bottom w:val="single" w:sz="8" w:space="0" w:color="auto"/>
              <w:right w:val="single" w:sz="8" w:space="0" w:color="auto"/>
            </w:tcBorders>
            <w:shd w:val="clear" w:color="auto" w:fill="auto"/>
            <w:vAlign w:val="center"/>
            <w:hideMark/>
          </w:tcPr>
          <w:p w14:paraId="2A205973" w14:textId="77777777" w:rsidR="00846834" w:rsidRPr="00846834" w:rsidRDefault="00846834" w:rsidP="00846834">
            <w:pPr>
              <w:spacing w:before="0" w:after="0" w:line="240" w:lineRule="auto"/>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Maidstone</w:t>
            </w:r>
          </w:p>
        </w:tc>
        <w:tc>
          <w:tcPr>
            <w:tcW w:w="1092" w:type="dxa"/>
            <w:tcBorders>
              <w:top w:val="nil"/>
              <w:left w:val="nil"/>
              <w:bottom w:val="single" w:sz="8" w:space="0" w:color="auto"/>
              <w:right w:val="single" w:sz="8" w:space="0" w:color="auto"/>
            </w:tcBorders>
            <w:shd w:val="clear" w:color="auto" w:fill="auto"/>
            <w:vAlign w:val="center"/>
            <w:hideMark/>
          </w:tcPr>
          <w:p w14:paraId="361466A5"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5.8</w:t>
            </w:r>
          </w:p>
        </w:tc>
        <w:tc>
          <w:tcPr>
            <w:tcW w:w="1093" w:type="dxa"/>
            <w:tcBorders>
              <w:top w:val="nil"/>
              <w:left w:val="nil"/>
              <w:bottom w:val="single" w:sz="8" w:space="0" w:color="auto"/>
              <w:right w:val="single" w:sz="8" w:space="0" w:color="auto"/>
            </w:tcBorders>
            <w:shd w:val="clear" w:color="auto" w:fill="auto"/>
            <w:vAlign w:val="center"/>
            <w:hideMark/>
          </w:tcPr>
          <w:p w14:paraId="47B2A7ED"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0.9</w:t>
            </w:r>
          </w:p>
        </w:tc>
        <w:tc>
          <w:tcPr>
            <w:tcW w:w="1093" w:type="dxa"/>
            <w:tcBorders>
              <w:top w:val="nil"/>
              <w:left w:val="nil"/>
              <w:bottom w:val="single" w:sz="8" w:space="0" w:color="auto"/>
              <w:right w:val="single" w:sz="8" w:space="0" w:color="auto"/>
            </w:tcBorders>
            <w:shd w:val="clear" w:color="auto" w:fill="auto"/>
            <w:vAlign w:val="center"/>
            <w:hideMark/>
          </w:tcPr>
          <w:p w14:paraId="2BE0FCBA"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0.4</w:t>
            </w:r>
          </w:p>
        </w:tc>
        <w:tc>
          <w:tcPr>
            <w:tcW w:w="1093" w:type="dxa"/>
            <w:tcBorders>
              <w:top w:val="nil"/>
              <w:left w:val="nil"/>
              <w:bottom w:val="single" w:sz="8" w:space="0" w:color="auto"/>
              <w:right w:val="single" w:sz="8" w:space="0" w:color="auto"/>
            </w:tcBorders>
            <w:shd w:val="clear" w:color="auto" w:fill="auto"/>
            <w:vAlign w:val="center"/>
            <w:hideMark/>
          </w:tcPr>
          <w:p w14:paraId="714C25F0"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0.3</w:t>
            </w:r>
          </w:p>
        </w:tc>
        <w:tc>
          <w:tcPr>
            <w:tcW w:w="1093" w:type="dxa"/>
            <w:tcBorders>
              <w:top w:val="nil"/>
              <w:left w:val="nil"/>
              <w:bottom w:val="single" w:sz="8" w:space="0" w:color="auto"/>
              <w:right w:val="single" w:sz="8" w:space="0" w:color="auto"/>
            </w:tcBorders>
            <w:shd w:val="clear" w:color="auto" w:fill="auto"/>
            <w:vAlign w:val="center"/>
            <w:hideMark/>
          </w:tcPr>
          <w:p w14:paraId="11585523"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0.9</w:t>
            </w:r>
          </w:p>
        </w:tc>
        <w:tc>
          <w:tcPr>
            <w:tcW w:w="1093" w:type="dxa"/>
            <w:tcBorders>
              <w:top w:val="nil"/>
              <w:left w:val="nil"/>
              <w:bottom w:val="single" w:sz="8" w:space="0" w:color="auto"/>
              <w:right w:val="single" w:sz="8" w:space="0" w:color="auto"/>
            </w:tcBorders>
            <w:shd w:val="clear" w:color="auto" w:fill="auto"/>
            <w:vAlign w:val="center"/>
            <w:hideMark/>
          </w:tcPr>
          <w:p w14:paraId="04C6D764"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0.1</w:t>
            </w:r>
          </w:p>
        </w:tc>
        <w:tc>
          <w:tcPr>
            <w:tcW w:w="1093" w:type="dxa"/>
            <w:tcBorders>
              <w:top w:val="nil"/>
              <w:left w:val="nil"/>
              <w:bottom w:val="single" w:sz="8" w:space="0" w:color="auto"/>
              <w:right w:val="single" w:sz="8" w:space="0" w:color="auto"/>
            </w:tcBorders>
            <w:shd w:val="clear" w:color="auto" w:fill="auto"/>
            <w:vAlign w:val="center"/>
            <w:hideMark/>
          </w:tcPr>
          <w:p w14:paraId="5B41C93B"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3.1</w:t>
            </w:r>
          </w:p>
        </w:tc>
      </w:tr>
      <w:tr w:rsidR="00846834" w:rsidRPr="00846834" w14:paraId="21812018" w14:textId="77777777" w:rsidTr="00846834">
        <w:trPr>
          <w:trHeight w:val="585"/>
        </w:trPr>
        <w:tc>
          <w:tcPr>
            <w:tcW w:w="1474" w:type="dxa"/>
            <w:tcBorders>
              <w:top w:val="nil"/>
              <w:left w:val="single" w:sz="8" w:space="0" w:color="auto"/>
              <w:bottom w:val="single" w:sz="8" w:space="0" w:color="auto"/>
              <w:right w:val="single" w:sz="8" w:space="0" w:color="auto"/>
            </w:tcBorders>
            <w:shd w:val="clear" w:color="auto" w:fill="auto"/>
            <w:vAlign w:val="center"/>
            <w:hideMark/>
          </w:tcPr>
          <w:p w14:paraId="59222EE9" w14:textId="77777777" w:rsidR="00846834" w:rsidRPr="00846834" w:rsidRDefault="00846834" w:rsidP="00846834">
            <w:pPr>
              <w:spacing w:before="0" w:after="0" w:line="240" w:lineRule="auto"/>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Medway</w:t>
            </w:r>
          </w:p>
        </w:tc>
        <w:tc>
          <w:tcPr>
            <w:tcW w:w="1092" w:type="dxa"/>
            <w:tcBorders>
              <w:top w:val="nil"/>
              <w:left w:val="nil"/>
              <w:bottom w:val="single" w:sz="8" w:space="0" w:color="auto"/>
              <w:right w:val="single" w:sz="8" w:space="0" w:color="auto"/>
            </w:tcBorders>
            <w:shd w:val="clear" w:color="auto" w:fill="auto"/>
            <w:vAlign w:val="center"/>
            <w:hideMark/>
          </w:tcPr>
          <w:p w14:paraId="0F6E8D5E"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5</w:t>
            </w:r>
          </w:p>
        </w:tc>
        <w:tc>
          <w:tcPr>
            <w:tcW w:w="1093" w:type="dxa"/>
            <w:tcBorders>
              <w:top w:val="nil"/>
              <w:left w:val="nil"/>
              <w:bottom w:val="single" w:sz="8" w:space="0" w:color="auto"/>
              <w:right w:val="single" w:sz="8" w:space="0" w:color="auto"/>
            </w:tcBorders>
            <w:shd w:val="clear" w:color="auto" w:fill="auto"/>
            <w:vAlign w:val="center"/>
            <w:hideMark/>
          </w:tcPr>
          <w:p w14:paraId="1F321822"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w:t>
            </w:r>
          </w:p>
        </w:tc>
        <w:tc>
          <w:tcPr>
            <w:tcW w:w="1093" w:type="dxa"/>
            <w:tcBorders>
              <w:top w:val="nil"/>
              <w:left w:val="nil"/>
              <w:bottom w:val="single" w:sz="8" w:space="0" w:color="auto"/>
              <w:right w:val="single" w:sz="8" w:space="0" w:color="auto"/>
            </w:tcBorders>
            <w:shd w:val="clear" w:color="auto" w:fill="auto"/>
            <w:vAlign w:val="center"/>
            <w:hideMark/>
          </w:tcPr>
          <w:p w14:paraId="5FD480AE"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w:t>
            </w:r>
          </w:p>
        </w:tc>
        <w:tc>
          <w:tcPr>
            <w:tcW w:w="1093" w:type="dxa"/>
            <w:tcBorders>
              <w:top w:val="nil"/>
              <w:left w:val="nil"/>
              <w:bottom w:val="single" w:sz="8" w:space="0" w:color="auto"/>
              <w:right w:val="single" w:sz="8" w:space="0" w:color="auto"/>
            </w:tcBorders>
            <w:shd w:val="clear" w:color="auto" w:fill="auto"/>
            <w:vAlign w:val="center"/>
            <w:hideMark/>
          </w:tcPr>
          <w:p w14:paraId="7659731E"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w:t>
            </w:r>
          </w:p>
        </w:tc>
        <w:tc>
          <w:tcPr>
            <w:tcW w:w="1093" w:type="dxa"/>
            <w:tcBorders>
              <w:top w:val="nil"/>
              <w:left w:val="nil"/>
              <w:bottom w:val="single" w:sz="8" w:space="0" w:color="auto"/>
              <w:right w:val="single" w:sz="8" w:space="0" w:color="auto"/>
            </w:tcBorders>
            <w:shd w:val="clear" w:color="auto" w:fill="auto"/>
            <w:vAlign w:val="center"/>
            <w:hideMark/>
          </w:tcPr>
          <w:p w14:paraId="60A232EB"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w:t>
            </w:r>
          </w:p>
        </w:tc>
        <w:tc>
          <w:tcPr>
            <w:tcW w:w="1093" w:type="dxa"/>
            <w:tcBorders>
              <w:top w:val="nil"/>
              <w:left w:val="nil"/>
              <w:bottom w:val="single" w:sz="8" w:space="0" w:color="auto"/>
              <w:right w:val="single" w:sz="8" w:space="0" w:color="auto"/>
            </w:tcBorders>
            <w:shd w:val="clear" w:color="auto" w:fill="auto"/>
            <w:vAlign w:val="center"/>
            <w:hideMark/>
          </w:tcPr>
          <w:p w14:paraId="4988464D"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w:t>
            </w:r>
          </w:p>
        </w:tc>
        <w:tc>
          <w:tcPr>
            <w:tcW w:w="1093" w:type="dxa"/>
            <w:tcBorders>
              <w:top w:val="nil"/>
              <w:left w:val="nil"/>
              <w:bottom w:val="single" w:sz="8" w:space="0" w:color="auto"/>
              <w:right w:val="single" w:sz="8" w:space="0" w:color="auto"/>
            </w:tcBorders>
            <w:shd w:val="clear" w:color="auto" w:fill="auto"/>
            <w:vAlign w:val="center"/>
            <w:hideMark/>
          </w:tcPr>
          <w:p w14:paraId="0BFDC527"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w:t>
            </w:r>
          </w:p>
        </w:tc>
      </w:tr>
      <w:tr w:rsidR="00846834" w:rsidRPr="00846834" w14:paraId="1899E3AF" w14:textId="77777777" w:rsidTr="00846834">
        <w:trPr>
          <w:trHeight w:val="585"/>
        </w:trPr>
        <w:tc>
          <w:tcPr>
            <w:tcW w:w="1474" w:type="dxa"/>
            <w:tcBorders>
              <w:top w:val="nil"/>
              <w:left w:val="single" w:sz="8" w:space="0" w:color="auto"/>
              <w:bottom w:val="single" w:sz="8" w:space="0" w:color="auto"/>
              <w:right w:val="single" w:sz="8" w:space="0" w:color="auto"/>
            </w:tcBorders>
            <w:shd w:val="clear" w:color="auto" w:fill="auto"/>
            <w:vAlign w:val="center"/>
            <w:hideMark/>
          </w:tcPr>
          <w:p w14:paraId="71B8F1A9" w14:textId="77777777" w:rsidR="00846834" w:rsidRPr="00846834" w:rsidRDefault="00846834" w:rsidP="00846834">
            <w:pPr>
              <w:spacing w:before="0" w:after="0" w:line="240" w:lineRule="auto"/>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Sevenoaks</w:t>
            </w:r>
          </w:p>
        </w:tc>
        <w:tc>
          <w:tcPr>
            <w:tcW w:w="1092" w:type="dxa"/>
            <w:tcBorders>
              <w:top w:val="nil"/>
              <w:left w:val="nil"/>
              <w:bottom w:val="single" w:sz="8" w:space="0" w:color="auto"/>
              <w:right w:val="single" w:sz="8" w:space="0" w:color="auto"/>
            </w:tcBorders>
            <w:shd w:val="clear" w:color="auto" w:fill="auto"/>
            <w:vAlign w:val="center"/>
            <w:hideMark/>
          </w:tcPr>
          <w:p w14:paraId="5F1BE265"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4.4</w:t>
            </w:r>
          </w:p>
        </w:tc>
        <w:tc>
          <w:tcPr>
            <w:tcW w:w="1093" w:type="dxa"/>
            <w:tcBorders>
              <w:top w:val="nil"/>
              <w:left w:val="nil"/>
              <w:bottom w:val="single" w:sz="8" w:space="0" w:color="auto"/>
              <w:right w:val="single" w:sz="8" w:space="0" w:color="auto"/>
            </w:tcBorders>
            <w:shd w:val="clear" w:color="auto" w:fill="auto"/>
            <w:vAlign w:val="center"/>
            <w:hideMark/>
          </w:tcPr>
          <w:p w14:paraId="4BC91C39"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0.6</w:t>
            </w:r>
          </w:p>
        </w:tc>
        <w:tc>
          <w:tcPr>
            <w:tcW w:w="1093" w:type="dxa"/>
            <w:tcBorders>
              <w:top w:val="nil"/>
              <w:left w:val="nil"/>
              <w:bottom w:val="single" w:sz="8" w:space="0" w:color="auto"/>
              <w:right w:val="single" w:sz="8" w:space="0" w:color="auto"/>
            </w:tcBorders>
            <w:shd w:val="clear" w:color="auto" w:fill="auto"/>
            <w:vAlign w:val="center"/>
            <w:hideMark/>
          </w:tcPr>
          <w:p w14:paraId="7D4CA73F"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0.5</w:t>
            </w:r>
          </w:p>
        </w:tc>
        <w:tc>
          <w:tcPr>
            <w:tcW w:w="1093" w:type="dxa"/>
            <w:tcBorders>
              <w:top w:val="nil"/>
              <w:left w:val="nil"/>
              <w:bottom w:val="single" w:sz="8" w:space="0" w:color="auto"/>
              <w:right w:val="single" w:sz="8" w:space="0" w:color="auto"/>
            </w:tcBorders>
            <w:shd w:val="clear" w:color="auto" w:fill="auto"/>
            <w:vAlign w:val="center"/>
            <w:hideMark/>
          </w:tcPr>
          <w:p w14:paraId="00B9155A"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0.2</w:t>
            </w:r>
          </w:p>
        </w:tc>
        <w:tc>
          <w:tcPr>
            <w:tcW w:w="1093" w:type="dxa"/>
            <w:tcBorders>
              <w:top w:val="nil"/>
              <w:left w:val="nil"/>
              <w:bottom w:val="single" w:sz="8" w:space="0" w:color="auto"/>
              <w:right w:val="single" w:sz="8" w:space="0" w:color="auto"/>
            </w:tcBorders>
            <w:shd w:val="clear" w:color="auto" w:fill="auto"/>
            <w:vAlign w:val="center"/>
            <w:hideMark/>
          </w:tcPr>
          <w:p w14:paraId="5774BBBE"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0.5</w:t>
            </w:r>
          </w:p>
        </w:tc>
        <w:tc>
          <w:tcPr>
            <w:tcW w:w="1093" w:type="dxa"/>
            <w:tcBorders>
              <w:top w:val="nil"/>
              <w:left w:val="nil"/>
              <w:bottom w:val="single" w:sz="8" w:space="0" w:color="auto"/>
              <w:right w:val="single" w:sz="8" w:space="0" w:color="auto"/>
            </w:tcBorders>
            <w:shd w:val="clear" w:color="auto" w:fill="auto"/>
            <w:vAlign w:val="center"/>
            <w:hideMark/>
          </w:tcPr>
          <w:p w14:paraId="34533BA5"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0.5</w:t>
            </w:r>
          </w:p>
        </w:tc>
        <w:tc>
          <w:tcPr>
            <w:tcW w:w="1093" w:type="dxa"/>
            <w:tcBorders>
              <w:top w:val="nil"/>
              <w:left w:val="nil"/>
              <w:bottom w:val="single" w:sz="8" w:space="0" w:color="auto"/>
              <w:right w:val="single" w:sz="8" w:space="0" w:color="auto"/>
            </w:tcBorders>
            <w:shd w:val="clear" w:color="auto" w:fill="auto"/>
            <w:vAlign w:val="center"/>
            <w:hideMark/>
          </w:tcPr>
          <w:p w14:paraId="78240327"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3.5</w:t>
            </w:r>
          </w:p>
        </w:tc>
      </w:tr>
      <w:tr w:rsidR="00846834" w:rsidRPr="00846834" w14:paraId="4D2CC991" w14:textId="77777777" w:rsidTr="00846834">
        <w:trPr>
          <w:trHeight w:val="1155"/>
        </w:trPr>
        <w:tc>
          <w:tcPr>
            <w:tcW w:w="1474" w:type="dxa"/>
            <w:tcBorders>
              <w:top w:val="nil"/>
              <w:left w:val="single" w:sz="8" w:space="0" w:color="auto"/>
              <w:bottom w:val="single" w:sz="8" w:space="0" w:color="auto"/>
              <w:right w:val="single" w:sz="8" w:space="0" w:color="auto"/>
            </w:tcBorders>
            <w:shd w:val="clear" w:color="auto" w:fill="auto"/>
            <w:vAlign w:val="center"/>
            <w:hideMark/>
          </w:tcPr>
          <w:p w14:paraId="62C0756E" w14:textId="77777777" w:rsidR="00846834" w:rsidRPr="00846834" w:rsidRDefault="00846834" w:rsidP="00846834">
            <w:pPr>
              <w:spacing w:before="0" w:after="0" w:line="240" w:lineRule="auto"/>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Folkestone and Hythe</w:t>
            </w:r>
          </w:p>
        </w:tc>
        <w:tc>
          <w:tcPr>
            <w:tcW w:w="1092" w:type="dxa"/>
            <w:tcBorders>
              <w:top w:val="nil"/>
              <w:left w:val="nil"/>
              <w:bottom w:val="single" w:sz="8" w:space="0" w:color="auto"/>
              <w:right w:val="single" w:sz="8" w:space="0" w:color="auto"/>
            </w:tcBorders>
            <w:shd w:val="clear" w:color="auto" w:fill="auto"/>
            <w:vAlign w:val="center"/>
            <w:hideMark/>
          </w:tcPr>
          <w:p w14:paraId="0C65FA65"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5.5</w:t>
            </w:r>
          </w:p>
        </w:tc>
        <w:tc>
          <w:tcPr>
            <w:tcW w:w="1093" w:type="dxa"/>
            <w:tcBorders>
              <w:top w:val="nil"/>
              <w:left w:val="nil"/>
              <w:bottom w:val="single" w:sz="8" w:space="0" w:color="auto"/>
              <w:right w:val="single" w:sz="8" w:space="0" w:color="auto"/>
            </w:tcBorders>
            <w:shd w:val="clear" w:color="auto" w:fill="auto"/>
            <w:vAlign w:val="center"/>
            <w:hideMark/>
          </w:tcPr>
          <w:p w14:paraId="3F43AAB7"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1.1</w:t>
            </w:r>
          </w:p>
        </w:tc>
        <w:tc>
          <w:tcPr>
            <w:tcW w:w="1093" w:type="dxa"/>
            <w:tcBorders>
              <w:top w:val="nil"/>
              <w:left w:val="nil"/>
              <w:bottom w:val="single" w:sz="8" w:space="0" w:color="auto"/>
              <w:right w:val="single" w:sz="8" w:space="0" w:color="auto"/>
            </w:tcBorders>
            <w:shd w:val="clear" w:color="auto" w:fill="auto"/>
            <w:vAlign w:val="center"/>
            <w:hideMark/>
          </w:tcPr>
          <w:p w14:paraId="21F906E6"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0.3</w:t>
            </w:r>
          </w:p>
        </w:tc>
        <w:tc>
          <w:tcPr>
            <w:tcW w:w="1093" w:type="dxa"/>
            <w:tcBorders>
              <w:top w:val="nil"/>
              <w:left w:val="nil"/>
              <w:bottom w:val="single" w:sz="8" w:space="0" w:color="auto"/>
              <w:right w:val="single" w:sz="8" w:space="0" w:color="auto"/>
            </w:tcBorders>
            <w:shd w:val="clear" w:color="auto" w:fill="auto"/>
            <w:vAlign w:val="center"/>
            <w:hideMark/>
          </w:tcPr>
          <w:p w14:paraId="698A65EA"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0.4</w:t>
            </w:r>
          </w:p>
        </w:tc>
        <w:tc>
          <w:tcPr>
            <w:tcW w:w="1093" w:type="dxa"/>
            <w:tcBorders>
              <w:top w:val="nil"/>
              <w:left w:val="nil"/>
              <w:bottom w:val="single" w:sz="8" w:space="0" w:color="auto"/>
              <w:right w:val="single" w:sz="8" w:space="0" w:color="auto"/>
            </w:tcBorders>
            <w:shd w:val="clear" w:color="auto" w:fill="auto"/>
            <w:vAlign w:val="center"/>
            <w:hideMark/>
          </w:tcPr>
          <w:p w14:paraId="7D74C355"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0.5</w:t>
            </w:r>
          </w:p>
        </w:tc>
        <w:tc>
          <w:tcPr>
            <w:tcW w:w="1093" w:type="dxa"/>
            <w:tcBorders>
              <w:top w:val="nil"/>
              <w:left w:val="nil"/>
              <w:bottom w:val="single" w:sz="8" w:space="0" w:color="auto"/>
              <w:right w:val="single" w:sz="8" w:space="0" w:color="auto"/>
            </w:tcBorders>
            <w:shd w:val="clear" w:color="auto" w:fill="auto"/>
            <w:vAlign w:val="center"/>
            <w:hideMark/>
          </w:tcPr>
          <w:p w14:paraId="0376815A"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0.4</w:t>
            </w:r>
          </w:p>
        </w:tc>
        <w:tc>
          <w:tcPr>
            <w:tcW w:w="1093" w:type="dxa"/>
            <w:tcBorders>
              <w:top w:val="nil"/>
              <w:left w:val="nil"/>
              <w:bottom w:val="single" w:sz="8" w:space="0" w:color="auto"/>
              <w:right w:val="single" w:sz="8" w:space="0" w:color="auto"/>
            </w:tcBorders>
            <w:shd w:val="clear" w:color="auto" w:fill="auto"/>
            <w:vAlign w:val="center"/>
            <w:hideMark/>
          </w:tcPr>
          <w:p w14:paraId="744D1BB4"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3.4</w:t>
            </w:r>
          </w:p>
        </w:tc>
      </w:tr>
      <w:tr w:rsidR="00846834" w:rsidRPr="00846834" w14:paraId="2EC7E914" w14:textId="77777777" w:rsidTr="00846834">
        <w:trPr>
          <w:trHeight w:val="315"/>
        </w:trPr>
        <w:tc>
          <w:tcPr>
            <w:tcW w:w="1474" w:type="dxa"/>
            <w:tcBorders>
              <w:top w:val="nil"/>
              <w:left w:val="single" w:sz="8" w:space="0" w:color="auto"/>
              <w:bottom w:val="single" w:sz="8" w:space="0" w:color="auto"/>
              <w:right w:val="single" w:sz="8" w:space="0" w:color="auto"/>
            </w:tcBorders>
            <w:shd w:val="clear" w:color="auto" w:fill="auto"/>
            <w:vAlign w:val="center"/>
            <w:hideMark/>
          </w:tcPr>
          <w:p w14:paraId="4A3D9F36" w14:textId="77777777" w:rsidR="00846834" w:rsidRPr="00846834" w:rsidRDefault="00846834" w:rsidP="00846834">
            <w:pPr>
              <w:spacing w:before="0" w:after="0" w:line="240" w:lineRule="auto"/>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Swale</w:t>
            </w:r>
          </w:p>
        </w:tc>
        <w:tc>
          <w:tcPr>
            <w:tcW w:w="1092" w:type="dxa"/>
            <w:tcBorders>
              <w:top w:val="nil"/>
              <w:left w:val="nil"/>
              <w:bottom w:val="single" w:sz="8" w:space="0" w:color="auto"/>
              <w:right w:val="single" w:sz="8" w:space="0" w:color="auto"/>
            </w:tcBorders>
            <w:shd w:val="clear" w:color="auto" w:fill="auto"/>
            <w:vAlign w:val="center"/>
            <w:hideMark/>
          </w:tcPr>
          <w:p w14:paraId="3911A4CC"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6.7</w:t>
            </w:r>
          </w:p>
        </w:tc>
        <w:tc>
          <w:tcPr>
            <w:tcW w:w="1093" w:type="dxa"/>
            <w:tcBorders>
              <w:top w:val="nil"/>
              <w:left w:val="nil"/>
              <w:bottom w:val="single" w:sz="8" w:space="0" w:color="auto"/>
              <w:right w:val="single" w:sz="8" w:space="0" w:color="auto"/>
            </w:tcBorders>
            <w:shd w:val="clear" w:color="auto" w:fill="auto"/>
            <w:vAlign w:val="center"/>
            <w:hideMark/>
          </w:tcPr>
          <w:p w14:paraId="74EBF934"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0.9</w:t>
            </w:r>
          </w:p>
        </w:tc>
        <w:tc>
          <w:tcPr>
            <w:tcW w:w="1093" w:type="dxa"/>
            <w:tcBorders>
              <w:top w:val="nil"/>
              <w:left w:val="nil"/>
              <w:bottom w:val="single" w:sz="8" w:space="0" w:color="auto"/>
              <w:right w:val="single" w:sz="8" w:space="0" w:color="auto"/>
            </w:tcBorders>
            <w:shd w:val="clear" w:color="auto" w:fill="auto"/>
            <w:vAlign w:val="center"/>
            <w:hideMark/>
          </w:tcPr>
          <w:p w14:paraId="1BC42A97"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0.4</w:t>
            </w:r>
          </w:p>
        </w:tc>
        <w:tc>
          <w:tcPr>
            <w:tcW w:w="1093" w:type="dxa"/>
            <w:tcBorders>
              <w:top w:val="nil"/>
              <w:left w:val="nil"/>
              <w:bottom w:val="single" w:sz="8" w:space="0" w:color="auto"/>
              <w:right w:val="single" w:sz="8" w:space="0" w:color="auto"/>
            </w:tcBorders>
            <w:shd w:val="clear" w:color="auto" w:fill="auto"/>
            <w:vAlign w:val="center"/>
            <w:hideMark/>
          </w:tcPr>
          <w:p w14:paraId="4FA2AF82"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0.4</w:t>
            </w:r>
          </w:p>
        </w:tc>
        <w:tc>
          <w:tcPr>
            <w:tcW w:w="1093" w:type="dxa"/>
            <w:tcBorders>
              <w:top w:val="nil"/>
              <w:left w:val="nil"/>
              <w:bottom w:val="single" w:sz="8" w:space="0" w:color="auto"/>
              <w:right w:val="single" w:sz="8" w:space="0" w:color="auto"/>
            </w:tcBorders>
            <w:shd w:val="clear" w:color="auto" w:fill="auto"/>
            <w:vAlign w:val="center"/>
            <w:hideMark/>
          </w:tcPr>
          <w:p w14:paraId="2F33E119"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0.5</w:t>
            </w:r>
          </w:p>
        </w:tc>
        <w:tc>
          <w:tcPr>
            <w:tcW w:w="1093" w:type="dxa"/>
            <w:tcBorders>
              <w:top w:val="nil"/>
              <w:left w:val="nil"/>
              <w:bottom w:val="single" w:sz="8" w:space="0" w:color="auto"/>
              <w:right w:val="single" w:sz="8" w:space="0" w:color="auto"/>
            </w:tcBorders>
            <w:shd w:val="clear" w:color="auto" w:fill="auto"/>
            <w:vAlign w:val="center"/>
            <w:hideMark/>
          </w:tcPr>
          <w:p w14:paraId="744F51DF"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w:t>
            </w:r>
          </w:p>
        </w:tc>
        <w:tc>
          <w:tcPr>
            <w:tcW w:w="1093" w:type="dxa"/>
            <w:tcBorders>
              <w:top w:val="nil"/>
              <w:left w:val="nil"/>
              <w:bottom w:val="single" w:sz="8" w:space="0" w:color="auto"/>
              <w:right w:val="single" w:sz="8" w:space="0" w:color="auto"/>
            </w:tcBorders>
            <w:shd w:val="clear" w:color="auto" w:fill="auto"/>
            <w:vAlign w:val="center"/>
            <w:hideMark/>
          </w:tcPr>
          <w:p w14:paraId="2204D764"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3.2</w:t>
            </w:r>
          </w:p>
        </w:tc>
      </w:tr>
      <w:tr w:rsidR="00846834" w:rsidRPr="00846834" w14:paraId="6C4F5B53" w14:textId="77777777" w:rsidTr="00846834">
        <w:trPr>
          <w:trHeight w:val="315"/>
        </w:trPr>
        <w:tc>
          <w:tcPr>
            <w:tcW w:w="1474" w:type="dxa"/>
            <w:tcBorders>
              <w:top w:val="nil"/>
              <w:left w:val="single" w:sz="8" w:space="0" w:color="auto"/>
              <w:bottom w:val="single" w:sz="8" w:space="0" w:color="auto"/>
              <w:right w:val="single" w:sz="8" w:space="0" w:color="auto"/>
            </w:tcBorders>
            <w:shd w:val="clear" w:color="auto" w:fill="auto"/>
            <w:vAlign w:val="center"/>
            <w:hideMark/>
          </w:tcPr>
          <w:p w14:paraId="46455E43" w14:textId="77777777" w:rsidR="00846834" w:rsidRPr="00846834" w:rsidRDefault="00846834" w:rsidP="00846834">
            <w:pPr>
              <w:spacing w:before="0" w:after="0" w:line="240" w:lineRule="auto"/>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Thanet</w:t>
            </w:r>
          </w:p>
        </w:tc>
        <w:tc>
          <w:tcPr>
            <w:tcW w:w="1092" w:type="dxa"/>
            <w:tcBorders>
              <w:top w:val="nil"/>
              <w:left w:val="nil"/>
              <w:bottom w:val="single" w:sz="8" w:space="0" w:color="auto"/>
              <w:right w:val="single" w:sz="8" w:space="0" w:color="auto"/>
            </w:tcBorders>
            <w:shd w:val="clear" w:color="auto" w:fill="auto"/>
            <w:vAlign w:val="center"/>
            <w:hideMark/>
          </w:tcPr>
          <w:p w14:paraId="6E3DFA71"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5.5</w:t>
            </w:r>
          </w:p>
        </w:tc>
        <w:tc>
          <w:tcPr>
            <w:tcW w:w="1093" w:type="dxa"/>
            <w:tcBorders>
              <w:top w:val="nil"/>
              <w:left w:val="nil"/>
              <w:bottom w:val="single" w:sz="8" w:space="0" w:color="auto"/>
              <w:right w:val="single" w:sz="8" w:space="0" w:color="auto"/>
            </w:tcBorders>
            <w:shd w:val="clear" w:color="auto" w:fill="auto"/>
            <w:vAlign w:val="center"/>
            <w:hideMark/>
          </w:tcPr>
          <w:p w14:paraId="5ABDB38A"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1.3</w:t>
            </w:r>
          </w:p>
        </w:tc>
        <w:tc>
          <w:tcPr>
            <w:tcW w:w="1093" w:type="dxa"/>
            <w:tcBorders>
              <w:top w:val="nil"/>
              <w:left w:val="nil"/>
              <w:bottom w:val="single" w:sz="8" w:space="0" w:color="auto"/>
              <w:right w:val="single" w:sz="8" w:space="0" w:color="auto"/>
            </w:tcBorders>
            <w:shd w:val="clear" w:color="auto" w:fill="auto"/>
            <w:vAlign w:val="center"/>
            <w:hideMark/>
          </w:tcPr>
          <w:p w14:paraId="3A9DA3F4"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0.6</w:t>
            </w:r>
          </w:p>
        </w:tc>
        <w:tc>
          <w:tcPr>
            <w:tcW w:w="1093" w:type="dxa"/>
            <w:tcBorders>
              <w:top w:val="nil"/>
              <w:left w:val="nil"/>
              <w:bottom w:val="single" w:sz="8" w:space="0" w:color="auto"/>
              <w:right w:val="single" w:sz="8" w:space="0" w:color="auto"/>
            </w:tcBorders>
            <w:shd w:val="clear" w:color="auto" w:fill="auto"/>
            <w:vAlign w:val="center"/>
            <w:hideMark/>
          </w:tcPr>
          <w:p w14:paraId="4CA793EB"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0.2</w:t>
            </w:r>
          </w:p>
        </w:tc>
        <w:tc>
          <w:tcPr>
            <w:tcW w:w="1093" w:type="dxa"/>
            <w:tcBorders>
              <w:top w:val="nil"/>
              <w:left w:val="nil"/>
              <w:bottom w:val="single" w:sz="8" w:space="0" w:color="auto"/>
              <w:right w:val="single" w:sz="8" w:space="0" w:color="auto"/>
            </w:tcBorders>
            <w:shd w:val="clear" w:color="auto" w:fill="auto"/>
            <w:vAlign w:val="center"/>
            <w:hideMark/>
          </w:tcPr>
          <w:p w14:paraId="53E274C3"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1</w:t>
            </w:r>
          </w:p>
        </w:tc>
        <w:tc>
          <w:tcPr>
            <w:tcW w:w="1093" w:type="dxa"/>
            <w:tcBorders>
              <w:top w:val="nil"/>
              <w:left w:val="nil"/>
              <w:bottom w:val="single" w:sz="8" w:space="0" w:color="auto"/>
              <w:right w:val="single" w:sz="8" w:space="0" w:color="auto"/>
            </w:tcBorders>
            <w:shd w:val="clear" w:color="auto" w:fill="auto"/>
            <w:vAlign w:val="center"/>
            <w:hideMark/>
          </w:tcPr>
          <w:p w14:paraId="31A6473D"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0.3</w:t>
            </w:r>
          </w:p>
        </w:tc>
        <w:tc>
          <w:tcPr>
            <w:tcW w:w="1093" w:type="dxa"/>
            <w:tcBorders>
              <w:top w:val="nil"/>
              <w:left w:val="nil"/>
              <w:bottom w:val="single" w:sz="8" w:space="0" w:color="auto"/>
              <w:right w:val="single" w:sz="8" w:space="0" w:color="auto"/>
            </w:tcBorders>
            <w:shd w:val="clear" w:color="auto" w:fill="auto"/>
            <w:vAlign w:val="center"/>
            <w:hideMark/>
          </w:tcPr>
          <w:p w14:paraId="5307C64D"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3</w:t>
            </w:r>
          </w:p>
        </w:tc>
      </w:tr>
      <w:tr w:rsidR="00846834" w:rsidRPr="00846834" w14:paraId="6E76E49C" w14:textId="77777777" w:rsidTr="00846834">
        <w:trPr>
          <w:trHeight w:val="870"/>
        </w:trPr>
        <w:tc>
          <w:tcPr>
            <w:tcW w:w="1474" w:type="dxa"/>
            <w:tcBorders>
              <w:top w:val="nil"/>
              <w:left w:val="single" w:sz="8" w:space="0" w:color="auto"/>
              <w:bottom w:val="single" w:sz="8" w:space="0" w:color="auto"/>
              <w:right w:val="single" w:sz="8" w:space="0" w:color="auto"/>
            </w:tcBorders>
            <w:shd w:val="clear" w:color="auto" w:fill="auto"/>
            <w:vAlign w:val="center"/>
            <w:hideMark/>
          </w:tcPr>
          <w:p w14:paraId="3B6F79D0" w14:textId="77777777" w:rsidR="00846834" w:rsidRPr="00846834" w:rsidRDefault="00846834" w:rsidP="00846834">
            <w:pPr>
              <w:spacing w:before="0" w:after="0" w:line="240" w:lineRule="auto"/>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Tonbridge and Malling</w:t>
            </w:r>
          </w:p>
        </w:tc>
        <w:tc>
          <w:tcPr>
            <w:tcW w:w="1092" w:type="dxa"/>
            <w:tcBorders>
              <w:top w:val="nil"/>
              <w:left w:val="nil"/>
              <w:bottom w:val="single" w:sz="8" w:space="0" w:color="auto"/>
              <w:right w:val="single" w:sz="8" w:space="0" w:color="auto"/>
            </w:tcBorders>
            <w:shd w:val="clear" w:color="auto" w:fill="auto"/>
            <w:vAlign w:val="center"/>
            <w:hideMark/>
          </w:tcPr>
          <w:p w14:paraId="3EA0E160"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5</w:t>
            </w:r>
          </w:p>
        </w:tc>
        <w:tc>
          <w:tcPr>
            <w:tcW w:w="1093" w:type="dxa"/>
            <w:tcBorders>
              <w:top w:val="nil"/>
              <w:left w:val="nil"/>
              <w:bottom w:val="single" w:sz="8" w:space="0" w:color="auto"/>
              <w:right w:val="single" w:sz="8" w:space="0" w:color="auto"/>
            </w:tcBorders>
            <w:shd w:val="clear" w:color="auto" w:fill="auto"/>
            <w:vAlign w:val="center"/>
            <w:hideMark/>
          </w:tcPr>
          <w:p w14:paraId="3CF2FE49"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1.1</w:t>
            </w:r>
          </w:p>
        </w:tc>
        <w:tc>
          <w:tcPr>
            <w:tcW w:w="1093" w:type="dxa"/>
            <w:tcBorders>
              <w:top w:val="nil"/>
              <w:left w:val="nil"/>
              <w:bottom w:val="single" w:sz="8" w:space="0" w:color="auto"/>
              <w:right w:val="single" w:sz="8" w:space="0" w:color="auto"/>
            </w:tcBorders>
            <w:shd w:val="clear" w:color="auto" w:fill="auto"/>
            <w:vAlign w:val="center"/>
            <w:hideMark/>
          </w:tcPr>
          <w:p w14:paraId="51120B43"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0.4</w:t>
            </w:r>
          </w:p>
        </w:tc>
        <w:tc>
          <w:tcPr>
            <w:tcW w:w="1093" w:type="dxa"/>
            <w:tcBorders>
              <w:top w:val="nil"/>
              <w:left w:val="nil"/>
              <w:bottom w:val="single" w:sz="8" w:space="0" w:color="auto"/>
              <w:right w:val="single" w:sz="8" w:space="0" w:color="auto"/>
            </w:tcBorders>
            <w:shd w:val="clear" w:color="auto" w:fill="auto"/>
            <w:vAlign w:val="center"/>
            <w:hideMark/>
          </w:tcPr>
          <w:p w14:paraId="3C46F3E3"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0.2</w:t>
            </w:r>
          </w:p>
        </w:tc>
        <w:tc>
          <w:tcPr>
            <w:tcW w:w="1093" w:type="dxa"/>
            <w:tcBorders>
              <w:top w:val="nil"/>
              <w:left w:val="nil"/>
              <w:bottom w:val="single" w:sz="8" w:space="0" w:color="auto"/>
              <w:right w:val="single" w:sz="8" w:space="0" w:color="auto"/>
            </w:tcBorders>
            <w:shd w:val="clear" w:color="auto" w:fill="auto"/>
            <w:vAlign w:val="center"/>
            <w:hideMark/>
          </w:tcPr>
          <w:p w14:paraId="0907308C"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1.4</w:t>
            </w:r>
          </w:p>
        </w:tc>
        <w:tc>
          <w:tcPr>
            <w:tcW w:w="1093" w:type="dxa"/>
            <w:tcBorders>
              <w:top w:val="nil"/>
              <w:left w:val="nil"/>
              <w:bottom w:val="single" w:sz="8" w:space="0" w:color="auto"/>
              <w:right w:val="single" w:sz="8" w:space="0" w:color="auto"/>
            </w:tcBorders>
            <w:shd w:val="clear" w:color="auto" w:fill="auto"/>
            <w:vAlign w:val="center"/>
            <w:hideMark/>
          </w:tcPr>
          <w:p w14:paraId="73DE1F9B"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0.9</w:t>
            </w:r>
          </w:p>
        </w:tc>
        <w:tc>
          <w:tcPr>
            <w:tcW w:w="1093" w:type="dxa"/>
            <w:tcBorders>
              <w:top w:val="nil"/>
              <w:left w:val="nil"/>
              <w:bottom w:val="single" w:sz="8" w:space="0" w:color="auto"/>
              <w:right w:val="single" w:sz="8" w:space="0" w:color="auto"/>
            </w:tcBorders>
            <w:shd w:val="clear" w:color="auto" w:fill="auto"/>
            <w:vAlign w:val="center"/>
            <w:hideMark/>
          </w:tcPr>
          <w:p w14:paraId="2B6F78B8"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1.6</w:t>
            </w:r>
          </w:p>
        </w:tc>
      </w:tr>
      <w:tr w:rsidR="00846834" w:rsidRPr="00846834" w14:paraId="2A3A8A4F" w14:textId="77777777" w:rsidTr="00846834">
        <w:trPr>
          <w:trHeight w:val="870"/>
        </w:trPr>
        <w:tc>
          <w:tcPr>
            <w:tcW w:w="1474" w:type="dxa"/>
            <w:tcBorders>
              <w:top w:val="nil"/>
              <w:left w:val="single" w:sz="8" w:space="0" w:color="auto"/>
              <w:bottom w:val="single" w:sz="8" w:space="0" w:color="auto"/>
              <w:right w:val="single" w:sz="8" w:space="0" w:color="auto"/>
            </w:tcBorders>
            <w:shd w:val="clear" w:color="auto" w:fill="auto"/>
            <w:vAlign w:val="center"/>
            <w:hideMark/>
          </w:tcPr>
          <w:p w14:paraId="622D3699" w14:textId="77777777" w:rsidR="00846834" w:rsidRPr="00846834" w:rsidRDefault="00846834" w:rsidP="00846834">
            <w:pPr>
              <w:spacing w:before="0" w:after="0" w:line="240" w:lineRule="auto"/>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Tunbridge Wells</w:t>
            </w:r>
          </w:p>
        </w:tc>
        <w:tc>
          <w:tcPr>
            <w:tcW w:w="1092" w:type="dxa"/>
            <w:tcBorders>
              <w:top w:val="nil"/>
              <w:left w:val="nil"/>
              <w:bottom w:val="single" w:sz="8" w:space="0" w:color="auto"/>
              <w:right w:val="single" w:sz="8" w:space="0" w:color="auto"/>
            </w:tcBorders>
            <w:shd w:val="clear" w:color="auto" w:fill="auto"/>
            <w:vAlign w:val="center"/>
            <w:hideMark/>
          </w:tcPr>
          <w:p w14:paraId="7B946438"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4.7</w:t>
            </w:r>
          </w:p>
        </w:tc>
        <w:tc>
          <w:tcPr>
            <w:tcW w:w="1093" w:type="dxa"/>
            <w:tcBorders>
              <w:top w:val="nil"/>
              <w:left w:val="nil"/>
              <w:bottom w:val="single" w:sz="8" w:space="0" w:color="auto"/>
              <w:right w:val="single" w:sz="8" w:space="0" w:color="auto"/>
            </w:tcBorders>
            <w:shd w:val="clear" w:color="auto" w:fill="auto"/>
            <w:vAlign w:val="center"/>
            <w:hideMark/>
          </w:tcPr>
          <w:p w14:paraId="06D5B3FB"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0.8</w:t>
            </w:r>
          </w:p>
        </w:tc>
        <w:tc>
          <w:tcPr>
            <w:tcW w:w="1093" w:type="dxa"/>
            <w:tcBorders>
              <w:top w:val="nil"/>
              <w:left w:val="nil"/>
              <w:bottom w:val="single" w:sz="8" w:space="0" w:color="auto"/>
              <w:right w:val="single" w:sz="8" w:space="0" w:color="auto"/>
            </w:tcBorders>
            <w:shd w:val="clear" w:color="auto" w:fill="auto"/>
            <w:vAlign w:val="center"/>
            <w:hideMark/>
          </w:tcPr>
          <w:p w14:paraId="4F664C92"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0.6</w:t>
            </w:r>
          </w:p>
        </w:tc>
        <w:tc>
          <w:tcPr>
            <w:tcW w:w="1093" w:type="dxa"/>
            <w:tcBorders>
              <w:top w:val="nil"/>
              <w:left w:val="nil"/>
              <w:bottom w:val="single" w:sz="8" w:space="0" w:color="auto"/>
              <w:right w:val="single" w:sz="8" w:space="0" w:color="auto"/>
            </w:tcBorders>
            <w:shd w:val="clear" w:color="auto" w:fill="auto"/>
            <w:vAlign w:val="center"/>
            <w:hideMark/>
          </w:tcPr>
          <w:p w14:paraId="22945335"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0.2</w:t>
            </w:r>
          </w:p>
        </w:tc>
        <w:tc>
          <w:tcPr>
            <w:tcW w:w="1093" w:type="dxa"/>
            <w:tcBorders>
              <w:top w:val="nil"/>
              <w:left w:val="nil"/>
              <w:bottom w:val="single" w:sz="8" w:space="0" w:color="auto"/>
              <w:right w:val="single" w:sz="8" w:space="0" w:color="auto"/>
            </w:tcBorders>
            <w:shd w:val="clear" w:color="auto" w:fill="auto"/>
            <w:vAlign w:val="center"/>
            <w:hideMark/>
          </w:tcPr>
          <w:p w14:paraId="2F48EDC0"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1.6</w:t>
            </w:r>
          </w:p>
        </w:tc>
        <w:tc>
          <w:tcPr>
            <w:tcW w:w="1093" w:type="dxa"/>
            <w:tcBorders>
              <w:top w:val="nil"/>
              <w:left w:val="nil"/>
              <w:bottom w:val="single" w:sz="8" w:space="0" w:color="auto"/>
              <w:right w:val="single" w:sz="8" w:space="0" w:color="auto"/>
            </w:tcBorders>
            <w:shd w:val="clear" w:color="auto" w:fill="auto"/>
            <w:vAlign w:val="center"/>
            <w:hideMark/>
          </w:tcPr>
          <w:p w14:paraId="1BD59BE5"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0.5</w:t>
            </w:r>
          </w:p>
        </w:tc>
        <w:tc>
          <w:tcPr>
            <w:tcW w:w="1093" w:type="dxa"/>
            <w:tcBorders>
              <w:top w:val="nil"/>
              <w:left w:val="nil"/>
              <w:bottom w:val="single" w:sz="8" w:space="0" w:color="auto"/>
              <w:right w:val="single" w:sz="8" w:space="0" w:color="auto"/>
            </w:tcBorders>
            <w:shd w:val="clear" w:color="auto" w:fill="auto"/>
            <w:vAlign w:val="center"/>
            <w:hideMark/>
          </w:tcPr>
          <w:p w14:paraId="6CCA5C0F" w14:textId="77777777" w:rsidR="00846834" w:rsidRPr="00846834" w:rsidRDefault="00846834" w:rsidP="00846834">
            <w:pPr>
              <w:spacing w:before="0" w:after="0" w:line="240" w:lineRule="auto"/>
              <w:jc w:val="right"/>
              <w:rPr>
                <w:rFonts w:ascii="Verdana" w:eastAsia="Times New Roman" w:hAnsi="Verdana" w:cs="Times New Roman"/>
                <w:color w:val="000000"/>
                <w:sz w:val="22"/>
                <w:szCs w:val="22"/>
              </w:rPr>
            </w:pPr>
            <w:r w:rsidRPr="00846834">
              <w:rPr>
                <w:rFonts w:ascii="Verdana" w:eastAsia="Times New Roman" w:hAnsi="Verdana" w:cs="Times New Roman"/>
                <w:color w:val="000000"/>
                <w:sz w:val="22"/>
                <w:szCs w:val="22"/>
              </w:rPr>
              <w:t>0.6</w:t>
            </w:r>
          </w:p>
        </w:tc>
      </w:tr>
    </w:tbl>
    <w:p w14:paraId="24301418" w14:textId="77777777" w:rsidR="0011787F" w:rsidRPr="008D6AC4" w:rsidRDefault="0011787F" w:rsidP="0011787F">
      <w:pPr>
        <w:rPr>
          <w:rFonts w:ascii="Verdana" w:hAnsi="Verdana"/>
          <w:sz w:val="22"/>
          <w:szCs w:val="22"/>
        </w:rPr>
      </w:pPr>
    </w:p>
    <w:p w14:paraId="637FA89F" w14:textId="77777777" w:rsidR="0011787F" w:rsidRPr="008D6AC4" w:rsidRDefault="0011787F" w:rsidP="0011787F">
      <w:pPr>
        <w:jc w:val="both"/>
        <w:rPr>
          <w:rFonts w:ascii="Verdana" w:hAnsi="Verdana"/>
          <w:sz w:val="22"/>
          <w:szCs w:val="22"/>
        </w:rPr>
      </w:pPr>
      <w:r w:rsidRPr="008D6AC4">
        <w:rPr>
          <w:rFonts w:ascii="Verdana" w:hAnsi="Verdana"/>
          <w:sz w:val="22"/>
          <w:szCs w:val="22"/>
        </w:rPr>
        <w:t xml:space="preserve">Patients are sent text reminders periodically to encourage completion and return of the testing kit. In 2021/22 there were 48,137 testing kits ordered, with 74.2% returned. The unreturned kits represent a cost of £273,007. Whilst this </w:t>
      </w:r>
      <w:r w:rsidRPr="008D6AC4">
        <w:rPr>
          <w:rFonts w:ascii="Verdana" w:hAnsi="Verdana"/>
          <w:sz w:val="22"/>
          <w:szCs w:val="22"/>
        </w:rPr>
        <w:lastRenderedPageBreak/>
        <w:t>cost is large, benchmarking against other services shows the Kent return rate is above average.</w:t>
      </w:r>
    </w:p>
    <w:p w14:paraId="3374B5AD" w14:textId="77777777" w:rsidR="0011787F" w:rsidRPr="008D6AC4" w:rsidRDefault="0011787F" w:rsidP="0011787F">
      <w:pPr>
        <w:jc w:val="both"/>
        <w:rPr>
          <w:rFonts w:ascii="Verdana" w:hAnsi="Verdana"/>
          <w:sz w:val="22"/>
          <w:szCs w:val="22"/>
        </w:rPr>
      </w:pPr>
      <w:r w:rsidRPr="008D6AC4">
        <w:rPr>
          <w:rFonts w:ascii="Verdana" w:hAnsi="Verdana"/>
          <w:sz w:val="22"/>
          <w:szCs w:val="22"/>
        </w:rPr>
        <w:t>Up to four tests a year can be ordered per person, with an average of 1.7 tests ordered per person between Q1 2020 and November 2022. If requesting more than four tests, the service will contact the patient to find out the reasons for this. Return rates in those ordering tests frequently is varied, with some patients regularly returning them, and others having a very low return rate. On average, the return rate for patients who had ordered more than 10 tests was 41.2%, much lower than the overall average return rate for the whole service (74.2%).</w:t>
      </w:r>
    </w:p>
    <w:p w14:paraId="1F6A867D" w14:textId="77777777" w:rsidR="0011787F" w:rsidRPr="008D6AC4" w:rsidRDefault="0011787F" w:rsidP="0011787F">
      <w:pPr>
        <w:jc w:val="both"/>
        <w:rPr>
          <w:rFonts w:ascii="Verdana" w:hAnsi="Verdana"/>
          <w:sz w:val="22"/>
          <w:szCs w:val="22"/>
        </w:rPr>
      </w:pPr>
      <w:r w:rsidRPr="008D6AC4">
        <w:rPr>
          <w:rFonts w:ascii="Verdana" w:hAnsi="Verdana"/>
          <w:sz w:val="22"/>
          <w:szCs w:val="22"/>
        </w:rPr>
        <w:t xml:space="preserve">The online STI testing service is promoted by a range of organisations, for example the websites of KCC, MTW, KCHFT and on the Get It website. There is limited knowledge on general public awareness of the service in Kent, however, we have recently found through insights that patients value having the choice of the online STI test kits. The service has consistently proven that user satisfaction is high with survey scores of 3 or above occurring at least 98% of the time from 2021/22 to the YTD 2023/24. </w:t>
      </w:r>
    </w:p>
    <w:p w14:paraId="54B63EAD" w14:textId="77777777" w:rsidR="0011787F" w:rsidRPr="008D6AC4" w:rsidRDefault="0011787F" w:rsidP="00350204">
      <w:pPr>
        <w:jc w:val="both"/>
        <w:rPr>
          <w:rFonts w:ascii="Verdana" w:hAnsi="Verdana"/>
          <w:sz w:val="22"/>
          <w:szCs w:val="22"/>
        </w:rPr>
      </w:pPr>
      <w:r w:rsidRPr="008D6AC4">
        <w:rPr>
          <w:rFonts w:ascii="Verdana" w:hAnsi="Verdana"/>
          <w:sz w:val="22"/>
          <w:szCs w:val="22"/>
        </w:rPr>
        <w:t>The spend on online testing has increased steadily from 2019/20 to date, more than doubling. The yearly total spend has consistently exceeded the total budget, with the funding gap being met by the MTW underspend in the integrated sexual health services.</w:t>
      </w:r>
    </w:p>
    <w:p w14:paraId="6E8F67CF" w14:textId="77777777" w:rsidR="0011787F" w:rsidRPr="00864DDB" w:rsidRDefault="7579A34D" w:rsidP="49636075">
      <w:pPr>
        <w:pStyle w:val="Heading2"/>
        <w:numPr>
          <w:ilvl w:val="0"/>
          <w:numId w:val="0"/>
        </w:numPr>
        <w:rPr>
          <w:rFonts w:ascii="Verdana" w:hAnsi="Verdana"/>
          <w:sz w:val="22"/>
          <w:szCs w:val="22"/>
        </w:rPr>
      </w:pPr>
      <w:bookmarkStart w:id="57" w:name="_Toc1331435144"/>
      <w:r w:rsidRPr="136F3BEB">
        <w:rPr>
          <w:rFonts w:ascii="Verdana" w:hAnsi="Verdana"/>
          <w:sz w:val="22"/>
          <w:szCs w:val="22"/>
        </w:rPr>
        <w:t xml:space="preserve">5.4.1 </w:t>
      </w:r>
      <w:r w:rsidR="2445C4E4" w:rsidRPr="136F3BEB">
        <w:rPr>
          <w:rFonts w:ascii="Verdana" w:hAnsi="Verdana" w:cstheme="minorBidi"/>
          <w:sz w:val="22"/>
          <w:szCs w:val="22"/>
        </w:rPr>
        <w:t>Strengths of the Online STI Testing Service</w:t>
      </w:r>
      <w:bookmarkEnd w:id="57"/>
    </w:p>
    <w:p w14:paraId="0E8E5ECC" w14:textId="77777777" w:rsidR="0011787F" w:rsidRPr="008D6AC4" w:rsidRDefault="0011787F" w:rsidP="00F8351F">
      <w:pPr>
        <w:pStyle w:val="ListParagraph"/>
        <w:numPr>
          <w:ilvl w:val="0"/>
          <w:numId w:val="12"/>
        </w:numPr>
        <w:spacing w:before="0" w:after="160" w:line="259" w:lineRule="auto"/>
        <w:jc w:val="both"/>
        <w:rPr>
          <w:rFonts w:ascii="Verdana" w:hAnsi="Verdana"/>
          <w:b/>
          <w:bCs/>
          <w:i/>
          <w:iCs/>
          <w:sz w:val="22"/>
          <w:szCs w:val="22"/>
        </w:rPr>
      </w:pPr>
      <w:r w:rsidRPr="008D6AC4">
        <w:rPr>
          <w:rFonts w:ascii="Verdana" w:hAnsi="Verdana"/>
          <w:sz w:val="22"/>
          <w:szCs w:val="22"/>
        </w:rPr>
        <w:t xml:space="preserve">The service improves access to STI testing by reducing the need to travel to a sexual health clinic </w:t>
      </w:r>
    </w:p>
    <w:p w14:paraId="06D76F7C" w14:textId="77777777" w:rsidR="0011787F" w:rsidRPr="008D6AC4" w:rsidRDefault="0011787F" w:rsidP="00F8351F">
      <w:pPr>
        <w:pStyle w:val="ListParagraph"/>
        <w:numPr>
          <w:ilvl w:val="0"/>
          <w:numId w:val="12"/>
        </w:numPr>
        <w:spacing w:before="0" w:after="160" w:line="259" w:lineRule="auto"/>
        <w:jc w:val="both"/>
        <w:rPr>
          <w:rFonts w:ascii="Verdana" w:hAnsi="Verdana"/>
          <w:b/>
          <w:bCs/>
          <w:i/>
          <w:iCs/>
          <w:sz w:val="22"/>
          <w:szCs w:val="22"/>
        </w:rPr>
      </w:pPr>
      <w:r w:rsidRPr="008D6AC4">
        <w:rPr>
          <w:rFonts w:ascii="Verdana" w:hAnsi="Verdana"/>
          <w:sz w:val="22"/>
          <w:szCs w:val="22"/>
        </w:rPr>
        <w:t>Consistently achieving good user satisfaction</w:t>
      </w:r>
    </w:p>
    <w:p w14:paraId="11DCA471" w14:textId="77777777" w:rsidR="0011787F" w:rsidRPr="008D6AC4" w:rsidRDefault="0011787F" w:rsidP="00F8351F">
      <w:pPr>
        <w:pStyle w:val="ListParagraph"/>
        <w:numPr>
          <w:ilvl w:val="0"/>
          <w:numId w:val="12"/>
        </w:numPr>
        <w:spacing w:before="0" w:after="160" w:line="259" w:lineRule="auto"/>
        <w:jc w:val="both"/>
        <w:rPr>
          <w:rFonts w:ascii="Verdana" w:hAnsi="Verdana"/>
          <w:b/>
          <w:bCs/>
          <w:i/>
          <w:iCs/>
          <w:sz w:val="22"/>
          <w:szCs w:val="22"/>
        </w:rPr>
      </w:pPr>
      <w:r w:rsidRPr="008D6AC4">
        <w:rPr>
          <w:rFonts w:ascii="Verdana" w:hAnsi="Verdana"/>
          <w:sz w:val="22"/>
          <w:szCs w:val="22"/>
        </w:rPr>
        <w:t>Increased usage since COVID-19, with the inclusion of symptomatic testing</w:t>
      </w:r>
    </w:p>
    <w:p w14:paraId="589D45F6" w14:textId="77777777" w:rsidR="0011787F" w:rsidRPr="0089791B" w:rsidRDefault="3AA38977" w:rsidP="136F3BEB">
      <w:pPr>
        <w:pStyle w:val="Heading2"/>
        <w:numPr>
          <w:ilvl w:val="0"/>
          <w:numId w:val="0"/>
        </w:numPr>
        <w:rPr>
          <w:rFonts w:ascii="Verdana" w:hAnsi="Verdana" w:cstheme="minorBidi"/>
          <w:sz w:val="22"/>
          <w:szCs w:val="22"/>
        </w:rPr>
      </w:pPr>
      <w:bookmarkStart w:id="58" w:name="_Toc275873893"/>
      <w:r w:rsidRPr="136F3BEB">
        <w:rPr>
          <w:rFonts w:ascii="Verdana" w:hAnsi="Verdana"/>
          <w:sz w:val="22"/>
          <w:szCs w:val="22"/>
        </w:rPr>
        <w:t xml:space="preserve">5.4.2 </w:t>
      </w:r>
      <w:r w:rsidR="2445C4E4" w:rsidRPr="136F3BEB">
        <w:rPr>
          <w:rFonts w:ascii="Verdana" w:hAnsi="Verdana" w:cstheme="minorBidi"/>
          <w:sz w:val="22"/>
          <w:szCs w:val="22"/>
        </w:rPr>
        <w:t>Possible Transformation Recommendations</w:t>
      </w:r>
      <w:bookmarkEnd w:id="58"/>
    </w:p>
    <w:p w14:paraId="2491D013" w14:textId="77777777" w:rsidR="60640CCC" w:rsidRPr="008D6AC4" w:rsidRDefault="60640CCC" w:rsidP="00F8351F">
      <w:pPr>
        <w:pStyle w:val="ListParagraph"/>
        <w:numPr>
          <w:ilvl w:val="0"/>
          <w:numId w:val="13"/>
        </w:numPr>
        <w:spacing w:before="0" w:after="160" w:line="259" w:lineRule="auto"/>
        <w:jc w:val="both"/>
        <w:rPr>
          <w:rFonts w:ascii="Verdana" w:eastAsia="Verdana" w:hAnsi="Verdana" w:cs="Verdana"/>
          <w:color w:val="000000" w:themeColor="text1"/>
          <w:sz w:val="22"/>
          <w:szCs w:val="22"/>
        </w:rPr>
      </w:pPr>
      <w:r w:rsidRPr="008D6AC4">
        <w:rPr>
          <w:rFonts w:ascii="Verdana" w:eastAsia="Verdana" w:hAnsi="Verdana" w:cs="Verdana"/>
          <w:color w:val="000000" w:themeColor="text1"/>
          <w:sz w:val="22"/>
          <w:szCs w:val="22"/>
        </w:rPr>
        <w:t>Further insights into online sexual health services. Need more high-quality patient service and ideas for improvement, this could be via mystery shoppers.  </w:t>
      </w:r>
    </w:p>
    <w:p w14:paraId="08E83D5A" w14:textId="77777777" w:rsidR="60640CCC" w:rsidRPr="008D6AC4" w:rsidRDefault="60640CCC" w:rsidP="00F8351F">
      <w:pPr>
        <w:pStyle w:val="ListParagraph"/>
        <w:numPr>
          <w:ilvl w:val="0"/>
          <w:numId w:val="13"/>
        </w:numPr>
        <w:spacing w:before="0" w:after="0" w:line="259" w:lineRule="auto"/>
        <w:rPr>
          <w:rFonts w:ascii="Verdana" w:eastAsia="Verdana" w:hAnsi="Verdana" w:cs="Verdana"/>
          <w:color w:val="000000" w:themeColor="text1"/>
          <w:sz w:val="22"/>
          <w:szCs w:val="22"/>
        </w:rPr>
      </w:pPr>
      <w:r w:rsidRPr="008D6AC4">
        <w:rPr>
          <w:rFonts w:ascii="Verdana" w:eastAsia="Verdana" w:hAnsi="Verdana" w:cs="Verdana"/>
          <w:color w:val="000000" w:themeColor="text1"/>
          <w:sz w:val="22"/>
          <w:szCs w:val="22"/>
        </w:rPr>
        <w:t>Consider option to bring contract management in house also. </w:t>
      </w:r>
    </w:p>
    <w:p w14:paraId="50864E02" w14:textId="77777777" w:rsidR="60640CCC" w:rsidRPr="008D6AC4" w:rsidRDefault="60640CCC" w:rsidP="00F8351F">
      <w:pPr>
        <w:pStyle w:val="ListParagraph"/>
        <w:numPr>
          <w:ilvl w:val="0"/>
          <w:numId w:val="13"/>
        </w:numPr>
        <w:spacing w:before="0" w:after="0" w:line="259" w:lineRule="auto"/>
        <w:jc w:val="both"/>
        <w:rPr>
          <w:rFonts w:ascii="Verdana" w:eastAsia="Verdana" w:hAnsi="Verdana" w:cs="Verdana"/>
          <w:color w:val="000000" w:themeColor="text1"/>
          <w:sz w:val="22"/>
          <w:szCs w:val="22"/>
        </w:rPr>
      </w:pPr>
      <w:r w:rsidRPr="008D6AC4">
        <w:rPr>
          <w:rFonts w:ascii="Verdana" w:eastAsia="Verdana" w:hAnsi="Verdana" w:cs="Verdana"/>
          <w:color w:val="000000" w:themeColor="text1"/>
          <w:sz w:val="22"/>
          <w:szCs w:val="22"/>
        </w:rPr>
        <w:t>Need further exploration of digital services that could be included in the online service </w:t>
      </w:r>
    </w:p>
    <w:p w14:paraId="4B6B71ED" w14:textId="77777777" w:rsidR="60640CCC" w:rsidRPr="008D6AC4" w:rsidRDefault="60640CCC" w:rsidP="00F8351F">
      <w:pPr>
        <w:pStyle w:val="ListParagraph"/>
        <w:numPr>
          <w:ilvl w:val="0"/>
          <w:numId w:val="13"/>
        </w:numPr>
        <w:spacing w:before="0" w:after="0" w:line="259" w:lineRule="auto"/>
        <w:rPr>
          <w:rFonts w:ascii="Verdana" w:eastAsia="Verdana" w:hAnsi="Verdana" w:cs="Verdana"/>
          <w:color w:val="000000" w:themeColor="text1"/>
          <w:sz w:val="22"/>
          <w:szCs w:val="22"/>
        </w:rPr>
      </w:pPr>
      <w:r w:rsidRPr="008D6AC4">
        <w:rPr>
          <w:rFonts w:ascii="Verdana" w:eastAsia="Verdana" w:hAnsi="Verdana" w:cs="Verdana"/>
          <w:color w:val="000000" w:themeColor="text1"/>
          <w:sz w:val="22"/>
          <w:szCs w:val="22"/>
        </w:rPr>
        <w:t>Understanding why kits aren’t returned, and why some users order multiple tests to reduce costs and better support the population to access an appropriate sexual health service </w:t>
      </w:r>
    </w:p>
    <w:p w14:paraId="73FE6AB6" w14:textId="77777777" w:rsidR="60640CCC" w:rsidRPr="008D6AC4" w:rsidRDefault="60640CCC" w:rsidP="00F8351F">
      <w:pPr>
        <w:pStyle w:val="ListParagraph"/>
        <w:numPr>
          <w:ilvl w:val="0"/>
          <w:numId w:val="13"/>
        </w:numPr>
        <w:spacing w:before="0" w:after="0" w:line="259" w:lineRule="auto"/>
        <w:rPr>
          <w:rFonts w:ascii="Verdana" w:eastAsia="Verdana" w:hAnsi="Verdana" w:cs="Verdana"/>
          <w:color w:val="000000" w:themeColor="text1"/>
          <w:sz w:val="22"/>
          <w:szCs w:val="22"/>
        </w:rPr>
      </w:pPr>
      <w:r w:rsidRPr="008D6AC4">
        <w:rPr>
          <w:rFonts w:ascii="Verdana" w:eastAsia="Verdana" w:hAnsi="Verdana" w:cs="Verdana"/>
          <w:color w:val="000000" w:themeColor="text1"/>
          <w:sz w:val="22"/>
          <w:szCs w:val="22"/>
        </w:rPr>
        <w:t xml:space="preserve">Further investigations into the unexpectedly similar proportions of positives between symptomatic and asymptomatic are warranted, equally a deeper dive into the </w:t>
      </w:r>
      <w:r w:rsidR="00DF6CF1">
        <w:rPr>
          <w:rFonts w:ascii="Verdana" w:eastAsia="Verdana" w:hAnsi="Verdana" w:cs="Verdana"/>
          <w:color w:val="000000" w:themeColor="text1"/>
          <w:sz w:val="22"/>
          <w:szCs w:val="22"/>
        </w:rPr>
        <w:t xml:space="preserve">online ordering </w:t>
      </w:r>
      <w:r w:rsidRPr="008D6AC4">
        <w:rPr>
          <w:rFonts w:ascii="Verdana" w:eastAsia="Verdana" w:hAnsi="Verdana" w:cs="Verdana"/>
          <w:color w:val="000000" w:themeColor="text1"/>
          <w:sz w:val="22"/>
          <w:szCs w:val="22"/>
        </w:rPr>
        <w:t>process and justification. </w:t>
      </w:r>
    </w:p>
    <w:p w14:paraId="0250AB40" w14:textId="77777777" w:rsidR="0011787F" w:rsidRPr="008D6AC4" w:rsidRDefault="0E72EEBB" w:rsidP="136F3BEB">
      <w:pPr>
        <w:pStyle w:val="Heading2"/>
        <w:numPr>
          <w:ilvl w:val="0"/>
          <w:numId w:val="0"/>
        </w:numPr>
        <w:rPr>
          <w:rFonts w:ascii="Verdana" w:eastAsiaTheme="minorEastAsia" w:hAnsi="Verdana"/>
          <w:highlight w:val="yellow"/>
        </w:rPr>
      </w:pPr>
      <w:bookmarkStart w:id="59" w:name="_Toc176567617"/>
      <w:r w:rsidRPr="136F3BEB">
        <w:rPr>
          <w:rFonts w:ascii="Verdana" w:eastAsiaTheme="minorEastAsia" w:hAnsi="Verdana" w:cstheme="minorBidi"/>
          <w:sz w:val="24"/>
          <w:szCs w:val="24"/>
        </w:rPr>
        <w:lastRenderedPageBreak/>
        <w:t xml:space="preserve">5.5 </w:t>
      </w:r>
      <w:r w:rsidR="2445C4E4" w:rsidRPr="136F3BEB">
        <w:rPr>
          <w:rFonts w:ascii="Verdana" w:eastAsiaTheme="minorEastAsia" w:hAnsi="Verdana" w:cstheme="minorBidi"/>
          <w:sz w:val="24"/>
          <w:szCs w:val="24"/>
        </w:rPr>
        <w:t>Pharmacy Sexual Health Services</w:t>
      </w:r>
      <w:bookmarkEnd w:id="59"/>
    </w:p>
    <w:p w14:paraId="6BC675B6" w14:textId="77777777" w:rsidR="0011787F" w:rsidRPr="008D6AC4" w:rsidRDefault="0011787F" w:rsidP="0011787F">
      <w:pPr>
        <w:jc w:val="both"/>
        <w:rPr>
          <w:rFonts w:ascii="Verdana" w:hAnsi="Verdana"/>
          <w:sz w:val="22"/>
          <w:szCs w:val="22"/>
        </w:rPr>
      </w:pPr>
      <w:r w:rsidRPr="008D6AC4">
        <w:rPr>
          <w:rFonts w:ascii="Verdana" w:hAnsi="Verdana"/>
          <w:sz w:val="22"/>
          <w:szCs w:val="22"/>
        </w:rPr>
        <w:t xml:space="preserve">Pharmacy sexual health services are provided by KCHFT, who outsource the service to community pharmacies across all 12 Kent districts. As of May 2023, there were 105 contracts with local pharmacies. </w:t>
      </w:r>
    </w:p>
    <w:p w14:paraId="379EC18E" w14:textId="77777777" w:rsidR="0011787F" w:rsidRPr="008D6AC4" w:rsidRDefault="6B0FBA72" w:rsidP="4A0F6D8A">
      <w:pPr>
        <w:jc w:val="both"/>
        <w:rPr>
          <w:rFonts w:ascii="Verdana" w:hAnsi="Verdana"/>
          <w:color w:val="000000" w:themeColor="text1"/>
          <w:sz w:val="22"/>
          <w:szCs w:val="22"/>
        </w:rPr>
      </w:pPr>
      <w:r w:rsidRPr="008D6AC4">
        <w:rPr>
          <w:rFonts w:ascii="Verdana" w:hAnsi="Verdana"/>
          <w:sz w:val="22"/>
          <w:szCs w:val="22"/>
        </w:rPr>
        <w:t xml:space="preserve">The pharmacy service includes provision of emergency oral contraception (EoC) for women under 30 years, simple genital chlamydia consultation and treatment, signposting and referral to other sexual health services and sexual assault services and sexual health promotion including raising awareness of the Get It condom distribution programme. Service availability can vary from location to location. During appointments, the pharmacist can also offer a supply of condoms to the patient. </w:t>
      </w:r>
    </w:p>
    <w:p w14:paraId="6074277F" w14:textId="77777777" w:rsidR="0011787F" w:rsidRPr="008D6AC4" w:rsidRDefault="6B0FBA72" w:rsidP="4A0F6D8A">
      <w:pPr>
        <w:jc w:val="both"/>
        <w:rPr>
          <w:rFonts w:ascii="Verdana" w:hAnsi="Verdana"/>
          <w:color w:val="000000" w:themeColor="text1"/>
          <w:sz w:val="22"/>
          <w:szCs w:val="22"/>
        </w:rPr>
      </w:pPr>
      <w:r w:rsidRPr="008D6AC4">
        <w:rPr>
          <w:rFonts w:ascii="Verdana" w:hAnsi="Verdana"/>
          <w:sz w:val="22"/>
          <w:szCs w:val="22"/>
        </w:rPr>
        <w:t xml:space="preserve">The service works in conjunction with </w:t>
      </w:r>
      <w:r w:rsidR="5188A6F7" w:rsidRPr="008D6AC4">
        <w:rPr>
          <w:rFonts w:ascii="Verdana" w:hAnsi="Verdana"/>
          <w:sz w:val="22"/>
          <w:szCs w:val="22"/>
        </w:rPr>
        <w:t>other sexual health services</w:t>
      </w:r>
      <w:r w:rsidRPr="008D6AC4">
        <w:rPr>
          <w:rFonts w:ascii="Verdana" w:hAnsi="Verdana"/>
          <w:sz w:val="22"/>
          <w:szCs w:val="22"/>
        </w:rPr>
        <w:t xml:space="preserve"> by referring patients with positive chlamydia test results to a local pharmacy to pick up treatment.</w:t>
      </w:r>
      <w:r w:rsidRPr="008D6AC4">
        <w:rPr>
          <w:rFonts w:ascii="Verdana" w:hAnsi="Verdana"/>
          <w:color w:val="000000" w:themeColor="text1"/>
          <w:sz w:val="22"/>
          <w:szCs w:val="22"/>
        </w:rPr>
        <w:t xml:space="preserve"> </w:t>
      </w:r>
      <w:r w:rsidR="6A54A42A" w:rsidRPr="008D6AC4">
        <w:rPr>
          <w:rFonts w:ascii="Verdana" w:hAnsi="Verdana"/>
          <w:color w:val="000000" w:themeColor="text1"/>
          <w:sz w:val="22"/>
          <w:szCs w:val="22"/>
        </w:rPr>
        <w:t>There is also a duplication for chlamydia treatment consultations whereby the E-Bureau team at MTW phone patients with the results of their online STI test and give information about treatment. This consultation may then be repeated when the patient attends the pharmacy to collect the treatment.</w:t>
      </w:r>
    </w:p>
    <w:p w14:paraId="631C14D7" w14:textId="77777777" w:rsidR="0011787F" w:rsidRPr="008D6AC4" w:rsidRDefault="0011787F" w:rsidP="0011787F">
      <w:pPr>
        <w:jc w:val="both"/>
        <w:rPr>
          <w:rFonts w:ascii="Verdana" w:hAnsi="Verdana"/>
          <w:color w:val="000000" w:themeColor="text1"/>
          <w:sz w:val="22"/>
          <w:szCs w:val="22"/>
        </w:rPr>
      </w:pPr>
      <w:r w:rsidRPr="008D6AC4">
        <w:rPr>
          <w:rFonts w:ascii="Verdana" w:hAnsi="Verdana"/>
          <w:color w:val="000000" w:themeColor="text1"/>
          <w:sz w:val="22"/>
          <w:szCs w:val="22"/>
        </w:rPr>
        <w:t>As of spring 2023 pharmacists began to supply repeat oral contraception, for those already initiated on the medication by their GP or sexual health clinic. This service provides an opportunity for promotion of chlamydia screening, signposting to the online STI testing service, and to increase awareness of the emergency oral contraception service offered.</w:t>
      </w:r>
    </w:p>
    <w:p w14:paraId="475876EA" w14:textId="77777777" w:rsidR="0011787F" w:rsidRPr="008D6AC4" w:rsidRDefault="0011787F" w:rsidP="0011787F">
      <w:pPr>
        <w:jc w:val="both"/>
        <w:rPr>
          <w:rFonts w:ascii="Verdana" w:hAnsi="Verdana"/>
          <w:color w:val="000000" w:themeColor="text1"/>
          <w:sz w:val="22"/>
          <w:szCs w:val="22"/>
        </w:rPr>
      </w:pPr>
      <w:r w:rsidRPr="008D6AC4">
        <w:rPr>
          <w:rFonts w:ascii="Verdana" w:hAnsi="Verdana"/>
          <w:color w:val="000000" w:themeColor="text1"/>
          <w:sz w:val="22"/>
          <w:szCs w:val="22"/>
        </w:rPr>
        <w:t>There are numerous non-sexual health KCC commissioned pharmacy services resulting in duplication of commissioning resources. This could be consolidated into one standard contract with pharmacies signing up to whichever elements they would like to provide.</w:t>
      </w:r>
    </w:p>
    <w:p w14:paraId="27D6BDAF" w14:textId="77777777" w:rsidR="0011787F" w:rsidRPr="008D6AC4" w:rsidRDefault="0011787F" w:rsidP="6B91972C">
      <w:pPr>
        <w:jc w:val="both"/>
        <w:rPr>
          <w:rFonts w:ascii="Verdana" w:hAnsi="Verdana"/>
          <w:b/>
          <w:bCs/>
          <w:color w:val="000000" w:themeColor="text1"/>
          <w:sz w:val="22"/>
          <w:szCs w:val="22"/>
        </w:rPr>
      </w:pPr>
      <w:r w:rsidRPr="6B91972C">
        <w:rPr>
          <w:rFonts w:ascii="Verdana" w:hAnsi="Verdana"/>
          <w:sz w:val="22"/>
          <w:szCs w:val="22"/>
        </w:rPr>
        <w:t xml:space="preserve">There have been closures of community pharmacies, withdrawal of pharmacy services within supermarkets and a national occupational shortage of pharmacists which can impact the service. KCHFT have also reported issues with recruitment of locum pharmacists who support the service when a pharmacist is unavailable. Additionally, some local pharmacists have not completed the required training to provide sexual health pharmacy services. </w:t>
      </w:r>
      <w:r w:rsidRPr="6B91972C">
        <w:rPr>
          <w:rFonts w:ascii="Verdana" w:hAnsi="Verdana"/>
          <w:color w:val="000000" w:themeColor="text1"/>
          <w:sz w:val="22"/>
          <w:szCs w:val="22"/>
        </w:rPr>
        <w:t xml:space="preserve">If attending a pharmacy </w:t>
      </w:r>
      <w:r w:rsidR="4024A189" w:rsidRPr="6B91972C">
        <w:rPr>
          <w:rFonts w:ascii="Verdana" w:hAnsi="Verdana"/>
          <w:color w:val="000000" w:themeColor="text1"/>
          <w:sz w:val="22"/>
          <w:szCs w:val="22"/>
        </w:rPr>
        <w:t xml:space="preserve">and they are </w:t>
      </w:r>
      <w:r w:rsidRPr="6B91972C">
        <w:rPr>
          <w:rFonts w:ascii="Verdana" w:hAnsi="Verdana"/>
          <w:color w:val="000000" w:themeColor="text1"/>
          <w:sz w:val="22"/>
          <w:szCs w:val="22"/>
        </w:rPr>
        <w:t>not able to prescribe the required medication, patients will be signposted to a nearby participating pharmacy or a sexual health clinic.</w:t>
      </w:r>
    </w:p>
    <w:p w14:paraId="7437B1C5" w14:textId="77777777" w:rsidR="0011787F" w:rsidRPr="008D6AC4" w:rsidRDefault="22065E35" w:rsidP="0011787F">
      <w:pPr>
        <w:jc w:val="both"/>
        <w:rPr>
          <w:rFonts w:ascii="Verdana" w:hAnsi="Verdana"/>
          <w:color w:val="000000" w:themeColor="text1"/>
          <w:sz w:val="22"/>
          <w:szCs w:val="22"/>
        </w:rPr>
      </w:pPr>
      <w:r w:rsidRPr="136F3BEB">
        <w:rPr>
          <w:rFonts w:ascii="Verdana" w:hAnsi="Verdana"/>
          <w:color w:val="000000" w:themeColor="text1"/>
          <w:sz w:val="22"/>
          <w:szCs w:val="22"/>
        </w:rPr>
        <w:t xml:space="preserve">There is participation of pharmacies in the service across Kent, as is demonstrated by the map below </w:t>
      </w:r>
      <w:r w:rsidRPr="136F3BEB">
        <w:rPr>
          <w:rFonts w:ascii="Verdana" w:hAnsi="Verdana"/>
          <w:b/>
          <w:bCs/>
          <w:color w:val="000000" w:themeColor="text1"/>
          <w:sz w:val="22"/>
          <w:szCs w:val="22"/>
        </w:rPr>
        <w:t>(Figure 1</w:t>
      </w:r>
      <w:r w:rsidR="3A0252D1" w:rsidRPr="136F3BEB">
        <w:rPr>
          <w:rFonts w:ascii="Verdana" w:hAnsi="Verdana"/>
          <w:b/>
          <w:bCs/>
          <w:color w:val="000000" w:themeColor="text1"/>
          <w:sz w:val="22"/>
          <w:szCs w:val="22"/>
        </w:rPr>
        <w:t>6</w:t>
      </w:r>
      <w:r w:rsidRPr="136F3BEB">
        <w:rPr>
          <w:rFonts w:ascii="Verdana" w:hAnsi="Verdana"/>
          <w:b/>
          <w:bCs/>
          <w:color w:val="000000" w:themeColor="text1"/>
          <w:sz w:val="22"/>
          <w:szCs w:val="22"/>
        </w:rPr>
        <w:t>)</w:t>
      </w:r>
      <w:r w:rsidRPr="136F3BEB">
        <w:rPr>
          <w:rFonts w:ascii="Verdana" w:hAnsi="Verdana"/>
          <w:color w:val="000000" w:themeColor="text1"/>
          <w:sz w:val="22"/>
          <w:szCs w:val="22"/>
        </w:rPr>
        <w:t xml:space="preserve"> with good geographical spread. However, it is unclear if there is equitable coverage with areas with the highest need. As expected, most pharmacies are located in the more populous town areas and an understanding of ease of access for those living in more remote locations, especially for those requiring public transport would be useful. </w:t>
      </w:r>
    </w:p>
    <w:p w14:paraId="17ABD28C" w14:textId="77777777" w:rsidR="0011787F" w:rsidRPr="008D6AC4" w:rsidRDefault="0011787F" w:rsidP="0011787F">
      <w:pPr>
        <w:rPr>
          <w:rFonts w:ascii="Verdana" w:hAnsi="Verdana"/>
          <w:color w:val="000000" w:themeColor="text1"/>
          <w:sz w:val="22"/>
          <w:szCs w:val="22"/>
        </w:rPr>
      </w:pPr>
    </w:p>
    <w:p w14:paraId="73AC50D6" w14:textId="5FCA7927" w:rsidR="00864DDB" w:rsidRDefault="00864DDB" w:rsidP="00886911">
      <w:pPr>
        <w:rPr>
          <w:rFonts w:ascii="Verdana" w:hAnsi="Verdana"/>
          <w:b/>
          <w:bCs/>
          <w:color w:val="000000" w:themeColor="text1"/>
          <w:sz w:val="22"/>
          <w:szCs w:val="22"/>
        </w:rPr>
      </w:pPr>
    </w:p>
    <w:p w14:paraId="34A61E6D" w14:textId="77777777" w:rsidR="0011787F" w:rsidRPr="008D6AC4" w:rsidRDefault="21C90D1E" w:rsidP="136F3BEB">
      <w:pPr>
        <w:spacing w:before="0" w:after="200"/>
        <w:rPr>
          <w:rFonts w:ascii="Verdana" w:hAnsi="Verdana"/>
          <w:b/>
          <w:bCs/>
          <w:color w:val="000000" w:themeColor="text1"/>
          <w:sz w:val="22"/>
          <w:szCs w:val="22"/>
        </w:rPr>
      </w:pPr>
      <w:r>
        <w:rPr>
          <w:noProof/>
        </w:rPr>
        <w:drawing>
          <wp:inline distT="0" distB="0" distL="0" distR="0" wp14:anchorId="65D3E1BD" wp14:editId="0C880AEC">
            <wp:extent cx="4312756" cy="2739183"/>
            <wp:effectExtent l="0" t="0" r="0" b="0"/>
            <wp:docPr id="221381176" name="Picture 753344457" descr="A map showing the Pharmacy Sexual Health Services in K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344457"/>
                    <pic:cNvPicPr/>
                  </pic:nvPicPr>
                  <pic:blipFill>
                    <a:blip r:embed="rId33">
                      <a:extLst>
                        <a:ext uri="{28A0092B-C50C-407E-A947-70E740481C1C}">
                          <a14:useLocalDpi xmlns:a14="http://schemas.microsoft.com/office/drawing/2010/main" val="0"/>
                        </a:ext>
                      </a:extLst>
                    </a:blip>
                    <a:stretch>
                      <a:fillRect/>
                    </a:stretch>
                  </pic:blipFill>
                  <pic:spPr>
                    <a:xfrm>
                      <a:off x="0" y="0"/>
                      <a:ext cx="4312756" cy="2739183"/>
                    </a:xfrm>
                    <a:prstGeom prst="rect">
                      <a:avLst/>
                    </a:prstGeom>
                  </pic:spPr>
                </pic:pic>
              </a:graphicData>
            </a:graphic>
          </wp:inline>
        </w:drawing>
      </w:r>
    </w:p>
    <w:p w14:paraId="63E9F8AA" w14:textId="77777777" w:rsidR="0011787F" w:rsidRPr="008D6AC4" w:rsidRDefault="3F3D0F0E" w:rsidP="136F3BEB">
      <w:pPr>
        <w:spacing w:before="0" w:after="200"/>
        <w:rPr>
          <w:rFonts w:ascii="Verdana" w:hAnsi="Verdana"/>
          <w:b/>
          <w:bCs/>
          <w:color w:val="000000" w:themeColor="text1"/>
          <w:sz w:val="22"/>
          <w:szCs w:val="22"/>
        </w:rPr>
      </w:pPr>
      <w:r w:rsidRPr="136F3BEB">
        <w:rPr>
          <w:rFonts w:ascii="Verdana" w:hAnsi="Verdana"/>
          <w:b/>
          <w:bCs/>
          <w:color w:val="000000" w:themeColor="text1"/>
          <w:sz w:val="22"/>
          <w:szCs w:val="22"/>
        </w:rPr>
        <w:t>Figure 1</w:t>
      </w:r>
      <w:r w:rsidR="4537CC78" w:rsidRPr="136F3BEB">
        <w:rPr>
          <w:rFonts w:ascii="Verdana" w:hAnsi="Verdana"/>
          <w:b/>
          <w:bCs/>
          <w:color w:val="000000" w:themeColor="text1"/>
          <w:sz w:val="22"/>
          <w:szCs w:val="22"/>
        </w:rPr>
        <w:t>6</w:t>
      </w:r>
      <w:r w:rsidRPr="136F3BEB">
        <w:rPr>
          <w:rFonts w:ascii="Verdana" w:hAnsi="Verdana"/>
          <w:b/>
          <w:bCs/>
          <w:color w:val="000000" w:themeColor="text1"/>
          <w:sz w:val="22"/>
          <w:szCs w:val="22"/>
        </w:rPr>
        <w:t>: Map of Pharmacy Sexual Health Services in Kent</w:t>
      </w:r>
    </w:p>
    <w:p w14:paraId="21F56D06" w14:textId="77777777" w:rsidR="00864DDB" w:rsidRDefault="00864DDB" w:rsidP="0011787F">
      <w:pPr>
        <w:jc w:val="both"/>
      </w:pPr>
    </w:p>
    <w:p w14:paraId="5F643BCC" w14:textId="77777777" w:rsidR="0011787F" w:rsidRPr="008D6AC4" w:rsidRDefault="0011787F" w:rsidP="0011787F">
      <w:pPr>
        <w:jc w:val="both"/>
        <w:rPr>
          <w:rFonts w:ascii="Verdana" w:hAnsi="Verdana"/>
          <w:color w:val="000000" w:themeColor="text1"/>
          <w:sz w:val="22"/>
          <w:szCs w:val="22"/>
        </w:rPr>
      </w:pPr>
      <w:r w:rsidRPr="008D6AC4">
        <w:rPr>
          <w:rFonts w:ascii="Verdana" w:hAnsi="Verdana"/>
          <w:color w:val="000000" w:themeColor="text1"/>
          <w:sz w:val="22"/>
          <w:szCs w:val="22"/>
        </w:rPr>
        <w:t>Highest volume of service use in 2021/22 was in Maidstone, Canterbury and Tunbridge Wells, and in 2022/23 and 2023/24 to date, Maidstone and Canterbury have the highest volumes. Tunbridge Wells is likely to have users from East Sussex which may explain the higher volumes. Data for 2022/23 show low levels of usage in Swale (1.9%).</w:t>
      </w:r>
    </w:p>
    <w:p w14:paraId="2356D8ED" w14:textId="77777777" w:rsidR="0011787F" w:rsidRPr="008D6AC4" w:rsidRDefault="0011787F" w:rsidP="0011787F">
      <w:pPr>
        <w:jc w:val="both"/>
        <w:rPr>
          <w:rFonts w:ascii="Verdana" w:hAnsi="Verdana"/>
          <w:color w:val="000000" w:themeColor="text1"/>
          <w:sz w:val="22"/>
          <w:szCs w:val="22"/>
        </w:rPr>
      </w:pPr>
      <w:r w:rsidRPr="008D6AC4">
        <w:rPr>
          <w:rFonts w:ascii="Verdana" w:hAnsi="Verdana"/>
          <w:color w:val="000000" w:themeColor="text1"/>
          <w:sz w:val="22"/>
          <w:szCs w:val="22"/>
        </w:rPr>
        <w:t>In 2021/22 the highest volume service users were between 16-18 years old, and in 2022/23 this changed to 19</w:t>
      </w:r>
      <w:r w:rsidR="000755DD" w:rsidRPr="008D6AC4">
        <w:rPr>
          <w:rFonts w:ascii="Verdana" w:hAnsi="Verdana"/>
          <w:color w:val="000000" w:themeColor="text1"/>
          <w:sz w:val="22"/>
          <w:szCs w:val="22"/>
        </w:rPr>
        <w:t xml:space="preserve"> to </w:t>
      </w:r>
      <w:r w:rsidRPr="008D6AC4">
        <w:rPr>
          <w:rFonts w:ascii="Verdana" w:hAnsi="Verdana"/>
          <w:color w:val="000000" w:themeColor="text1"/>
          <w:sz w:val="22"/>
          <w:szCs w:val="22"/>
        </w:rPr>
        <w:t>21-year-olds. However, use of the service has been across a wide age range, with 21% of service users being over the age of 30 years, despite the EoC service being for those under 30. Ethnicity reporting is limited.</w:t>
      </w:r>
    </w:p>
    <w:p w14:paraId="55CCD171" w14:textId="77777777" w:rsidR="0011787F" w:rsidRPr="008D6AC4" w:rsidRDefault="22065E35" w:rsidP="0011787F">
      <w:pPr>
        <w:jc w:val="both"/>
        <w:rPr>
          <w:rFonts w:ascii="Verdana" w:hAnsi="Verdana"/>
          <w:color w:val="000000" w:themeColor="text1"/>
          <w:sz w:val="22"/>
          <w:szCs w:val="22"/>
        </w:rPr>
      </w:pPr>
      <w:r w:rsidRPr="136F3BEB">
        <w:rPr>
          <w:rFonts w:ascii="Verdana" w:hAnsi="Verdana"/>
          <w:color w:val="000000" w:themeColor="text1"/>
          <w:sz w:val="22"/>
          <w:szCs w:val="22"/>
        </w:rPr>
        <w:t>The service uses an IT system called pharma</w:t>
      </w:r>
      <w:r w:rsidR="53B606A7" w:rsidRPr="136F3BEB">
        <w:rPr>
          <w:rFonts w:ascii="Verdana" w:hAnsi="Verdana"/>
          <w:color w:val="000000" w:themeColor="text1"/>
          <w:sz w:val="22"/>
          <w:szCs w:val="22"/>
        </w:rPr>
        <w:t>-</w:t>
      </w:r>
      <w:r w:rsidRPr="136F3BEB">
        <w:rPr>
          <w:rFonts w:ascii="Verdana" w:hAnsi="Verdana"/>
          <w:color w:val="000000" w:themeColor="text1"/>
          <w:sz w:val="22"/>
          <w:szCs w:val="22"/>
        </w:rPr>
        <w:t xml:space="preserve">outcomes which records activity and allows reporting of data back to KCHFT. The number of treatments dispensed by the pharmacy service has fluctuated year-on-year </w:t>
      </w:r>
      <w:r w:rsidRPr="136F3BEB">
        <w:rPr>
          <w:rFonts w:ascii="Verdana" w:hAnsi="Verdana"/>
          <w:b/>
          <w:bCs/>
          <w:color w:val="000000" w:themeColor="text1"/>
          <w:sz w:val="22"/>
          <w:szCs w:val="22"/>
        </w:rPr>
        <w:t>(</w:t>
      </w:r>
      <w:r w:rsidR="6CB91877" w:rsidRPr="136F3BEB">
        <w:rPr>
          <w:rFonts w:ascii="Verdana" w:hAnsi="Verdana"/>
          <w:b/>
          <w:bCs/>
          <w:color w:val="000000" w:themeColor="text1"/>
          <w:sz w:val="22"/>
          <w:szCs w:val="22"/>
        </w:rPr>
        <w:t>T</w:t>
      </w:r>
      <w:r w:rsidRPr="136F3BEB">
        <w:rPr>
          <w:rFonts w:ascii="Verdana" w:hAnsi="Verdana"/>
          <w:b/>
          <w:bCs/>
          <w:color w:val="000000" w:themeColor="text1"/>
          <w:sz w:val="22"/>
          <w:szCs w:val="22"/>
        </w:rPr>
        <w:t xml:space="preserve">able </w:t>
      </w:r>
      <w:r w:rsidR="3CB68400" w:rsidRPr="136F3BEB">
        <w:rPr>
          <w:rFonts w:ascii="Verdana" w:hAnsi="Verdana"/>
          <w:b/>
          <w:bCs/>
          <w:color w:val="000000" w:themeColor="text1"/>
          <w:sz w:val="22"/>
          <w:szCs w:val="22"/>
        </w:rPr>
        <w:t>9</w:t>
      </w:r>
      <w:r w:rsidRPr="136F3BEB">
        <w:rPr>
          <w:rFonts w:ascii="Verdana" w:hAnsi="Verdana"/>
          <w:b/>
          <w:bCs/>
          <w:color w:val="000000" w:themeColor="text1"/>
          <w:sz w:val="22"/>
          <w:szCs w:val="22"/>
        </w:rPr>
        <w:t>)</w:t>
      </w:r>
      <w:r w:rsidRPr="136F3BEB">
        <w:rPr>
          <w:rFonts w:ascii="Verdana" w:hAnsi="Verdana"/>
          <w:color w:val="000000" w:themeColor="text1"/>
          <w:sz w:val="22"/>
          <w:szCs w:val="22"/>
        </w:rPr>
        <w:t xml:space="preserve">. The data in </w:t>
      </w:r>
      <w:r w:rsidR="7162E476" w:rsidRPr="136F3BEB">
        <w:rPr>
          <w:rFonts w:ascii="Verdana" w:hAnsi="Verdana"/>
          <w:color w:val="000000" w:themeColor="text1"/>
          <w:sz w:val="22"/>
          <w:szCs w:val="22"/>
        </w:rPr>
        <w:t>T</w:t>
      </w:r>
      <w:r w:rsidRPr="136F3BEB">
        <w:rPr>
          <w:rFonts w:ascii="Verdana" w:hAnsi="Verdana"/>
          <w:color w:val="000000" w:themeColor="text1"/>
          <w:sz w:val="22"/>
          <w:szCs w:val="22"/>
        </w:rPr>
        <w:t xml:space="preserve">able </w:t>
      </w:r>
      <w:r w:rsidR="60F79C92" w:rsidRPr="136F3BEB">
        <w:rPr>
          <w:rFonts w:ascii="Verdana" w:hAnsi="Verdana"/>
          <w:color w:val="000000" w:themeColor="text1"/>
          <w:sz w:val="22"/>
          <w:szCs w:val="22"/>
        </w:rPr>
        <w:t>9</w:t>
      </w:r>
      <w:r w:rsidRPr="136F3BEB">
        <w:rPr>
          <w:rFonts w:ascii="Verdana" w:hAnsi="Verdana"/>
          <w:color w:val="000000" w:themeColor="text1"/>
          <w:sz w:val="22"/>
          <w:szCs w:val="22"/>
        </w:rPr>
        <w:t xml:space="preserve"> does not provide information on service user experience and does not show which groups of the population are utilising this service. Some patients may also receive two doses of EoC and therefore the numbers of treatments dispensed does not necessarily correspond to the number of people accessing the service.</w:t>
      </w:r>
    </w:p>
    <w:p w14:paraId="2D8BB19F" w14:textId="77777777" w:rsidR="0011787F" w:rsidRPr="008D6AC4" w:rsidRDefault="22065E35" w:rsidP="0011787F">
      <w:pPr>
        <w:rPr>
          <w:rFonts w:ascii="Verdana" w:hAnsi="Verdana"/>
          <w:color w:val="000000" w:themeColor="text1"/>
          <w:sz w:val="22"/>
          <w:szCs w:val="22"/>
        </w:rPr>
      </w:pPr>
      <w:r w:rsidRPr="136F3BEB">
        <w:rPr>
          <w:rFonts w:ascii="Verdana" w:hAnsi="Verdana"/>
          <w:b/>
          <w:bCs/>
          <w:color w:val="000000" w:themeColor="text1"/>
          <w:sz w:val="22"/>
          <w:szCs w:val="22"/>
        </w:rPr>
        <w:t xml:space="preserve">Table </w:t>
      </w:r>
      <w:r w:rsidR="238D85D1" w:rsidRPr="136F3BEB">
        <w:rPr>
          <w:rFonts w:ascii="Verdana" w:hAnsi="Verdana"/>
          <w:b/>
          <w:bCs/>
          <w:color w:val="000000" w:themeColor="text1"/>
          <w:sz w:val="22"/>
          <w:szCs w:val="22"/>
        </w:rPr>
        <w:t>9</w:t>
      </w:r>
      <w:r w:rsidRPr="136F3BEB">
        <w:rPr>
          <w:rFonts w:ascii="Verdana" w:hAnsi="Verdana"/>
          <w:b/>
          <w:bCs/>
          <w:color w:val="000000" w:themeColor="text1"/>
          <w:sz w:val="22"/>
          <w:szCs w:val="22"/>
        </w:rPr>
        <w:t>: Number of treatments dispensed</w:t>
      </w:r>
      <w:r w:rsidR="65FB4F31" w:rsidRPr="136F3BEB">
        <w:rPr>
          <w:rFonts w:ascii="Verdana" w:hAnsi="Verdana"/>
          <w:b/>
          <w:bCs/>
          <w:color w:val="000000" w:themeColor="text1"/>
          <w:sz w:val="22"/>
          <w:szCs w:val="22"/>
        </w:rPr>
        <w:t xml:space="preserve"> by the </w:t>
      </w:r>
      <w:r w:rsidR="2C532335" w:rsidRPr="136F3BEB">
        <w:rPr>
          <w:rFonts w:ascii="Verdana" w:hAnsi="Verdana"/>
          <w:b/>
          <w:bCs/>
          <w:color w:val="000000" w:themeColor="text1"/>
          <w:sz w:val="22"/>
          <w:szCs w:val="22"/>
        </w:rPr>
        <w:t>pharmacy service</w:t>
      </w:r>
      <w:r w:rsidRPr="136F3BEB">
        <w:rPr>
          <w:rFonts w:ascii="Verdana" w:hAnsi="Verdana"/>
          <w:b/>
          <w:bCs/>
          <w:color w:val="000000" w:themeColor="text1"/>
          <w:sz w:val="22"/>
          <w:szCs w:val="22"/>
        </w:rPr>
        <w:t xml:space="preserve"> per year from 2020 to 2023</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333"/>
        <w:gridCol w:w="1301"/>
        <w:gridCol w:w="1301"/>
        <w:gridCol w:w="1301"/>
      </w:tblGrid>
      <w:tr w:rsidR="0011787F" w:rsidRPr="008D6AC4" w14:paraId="0779E36B" w14:textId="77777777" w:rsidTr="007443FF">
        <w:trPr>
          <w:trHeight w:val="300"/>
        </w:trPr>
        <w:tc>
          <w:tcPr>
            <w:tcW w:w="3184" w:type="pct"/>
            <w:shd w:val="clear" w:color="auto" w:fill="DDF1F3"/>
            <w:tcMar>
              <w:left w:w="105" w:type="dxa"/>
              <w:right w:w="105" w:type="dxa"/>
            </w:tcMar>
            <w:vAlign w:val="center"/>
          </w:tcPr>
          <w:p w14:paraId="6329E4DF" w14:textId="77777777" w:rsidR="0011787F" w:rsidRPr="008D6AC4" w:rsidRDefault="0011787F" w:rsidP="007443FF">
            <w:pPr>
              <w:spacing w:after="0" w:line="240" w:lineRule="auto"/>
              <w:rPr>
                <w:rFonts w:ascii="Verdana" w:hAnsi="Verdana"/>
                <w:b/>
                <w:bCs/>
                <w:color w:val="000000" w:themeColor="text1"/>
                <w:sz w:val="22"/>
                <w:szCs w:val="22"/>
              </w:rPr>
            </w:pPr>
            <w:r w:rsidRPr="008D6AC4">
              <w:rPr>
                <w:rFonts w:ascii="Verdana" w:hAnsi="Verdana"/>
                <w:b/>
                <w:bCs/>
                <w:color w:val="000000" w:themeColor="text1"/>
                <w:sz w:val="22"/>
                <w:szCs w:val="22"/>
              </w:rPr>
              <w:t>Treatment dispensed</w:t>
            </w:r>
          </w:p>
        </w:tc>
        <w:tc>
          <w:tcPr>
            <w:tcW w:w="568" w:type="pct"/>
            <w:shd w:val="clear" w:color="auto" w:fill="DDF1F3"/>
            <w:tcMar>
              <w:left w:w="105" w:type="dxa"/>
              <w:right w:w="105" w:type="dxa"/>
            </w:tcMar>
            <w:vAlign w:val="center"/>
          </w:tcPr>
          <w:p w14:paraId="593E1D1F" w14:textId="77777777" w:rsidR="0011787F" w:rsidRPr="008D6AC4" w:rsidRDefault="0011787F" w:rsidP="007443FF">
            <w:pPr>
              <w:spacing w:after="0" w:line="240" w:lineRule="auto"/>
              <w:rPr>
                <w:rFonts w:ascii="Verdana" w:hAnsi="Verdana"/>
                <w:b/>
                <w:bCs/>
                <w:color w:val="000000" w:themeColor="text1"/>
                <w:sz w:val="22"/>
                <w:szCs w:val="22"/>
              </w:rPr>
            </w:pPr>
            <w:r w:rsidRPr="008D6AC4">
              <w:rPr>
                <w:rFonts w:ascii="Verdana" w:hAnsi="Verdana"/>
                <w:b/>
                <w:bCs/>
                <w:color w:val="000000" w:themeColor="text1"/>
                <w:sz w:val="22"/>
                <w:szCs w:val="22"/>
              </w:rPr>
              <w:t>2020/21</w:t>
            </w:r>
          </w:p>
        </w:tc>
        <w:tc>
          <w:tcPr>
            <w:tcW w:w="675" w:type="pct"/>
            <w:shd w:val="clear" w:color="auto" w:fill="DDF1F3"/>
            <w:tcMar>
              <w:left w:w="105" w:type="dxa"/>
              <w:right w:w="105" w:type="dxa"/>
            </w:tcMar>
            <w:vAlign w:val="center"/>
          </w:tcPr>
          <w:p w14:paraId="3EF00D7F" w14:textId="77777777" w:rsidR="0011787F" w:rsidRPr="008D6AC4" w:rsidRDefault="0011787F" w:rsidP="007443FF">
            <w:pPr>
              <w:spacing w:after="0" w:line="240" w:lineRule="auto"/>
              <w:rPr>
                <w:rFonts w:ascii="Verdana" w:hAnsi="Verdana"/>
                <w:b/>
                <w:bCs/>
                <w:color w:val="000000" w:themeColor="text1"/>
                <w:sz w:val="22"/>
                <w:szCs w:val="22"/>
              </w:rPr>
            </w:pPr>
            <w:r w:rsidRPr="008D6AC4">
              <w:rPr>
                <w:rFonts w:ascii="Verdana" w:hAnsi="Verdana"/>
                <w:b/>
                <w:bCs/>
                <w:color w:val="000000" w:themeColor="text1"/>
                <w:sz w:val="22"/>
                <w:szCs w:val="22"/>
              </w:rPr>
              <w:t>2021/22</w:t>
            </w:r>
          </w:p>
        </w:tc>
        <w:tc>
          <w:tcPr>
            <w:tcW w:w="574" w:type="pct"/>
            <w:shd w:val="clear" w:color="auto" w:fill="DDF1F3"/>
            <w:tcMar>
              <w:left w:w="105" w:type="dxa"/>
              <w:right w:w="105" w:type="dxa"/>
            </w:tcMar>
            <w:vAlign w:val="center"/>
          </w:tcPr>
          <w:p w14:paraId="1A4295CF" w14:textId="77777777" w:rsidR="0011787F" w:rsidRPr="008D6AC4" w:rsidRDefault="0011787F" w:rsidP="007443FF">
            <w:pPr>
              <w:spacing w:after="0" w:line="240" w:lineRule="auto"/>
              <w:rPr>
                <w:rFonts w:ascii="Verdana" w:hAnsi="Verdana"/>
                <w:b/>
                <w:bCs/>
                <w:color w:val="000000" w:themeColor="text1"/>
                <w:sz w:val="22"/>
                <w:szCs w:val="22"/>
              </w:rPr>
            </w:pPr>
            <w:r w:rsidRPr="008D6AC4">
              <w:rPr>
                <w:rFonts w:ascii="Verdana" w:hAnsi="Verdana"/>
                <w:b/>
                <w:bCs/>
                <w:color w:val="000000" w:themeColor="text1"/>
                <w:sz w:val="22"/>
                <w:szCs w:val="22"/>
              </w:rPr>
              <w:t>2022/23</w:t>
            </w:r>
          </w:p>
        </w:tc>
      </w:tr>
      <w:tr w:rsidR="0011787F" w:rsidRPr="008D6AC4" w14:paraId="698F3FBE" w14:textId="77777777" w:rsidTr="0E4D9769">
        <w:trPr>
          <w:trHeight w:val="300"/>
        </w:trPr>
        <w:tc>
          <w:tcPr>
            <w:tcW w:w="3184" w:type="pct"/>
            <w:tcMar>
              <w:left w:w="105" w:type="dxa"/>
              <w:right w:w="105" w:type="dxa"/>
            </w:tcMar>
            <w:vAlign w:val="bottom"/>
          </w:tcPr>
          <w:p w14:paraId="6A1642B4" w14:textId="77777777" w:rsidR="0011787F" w:rsidRPr="008D6AC4" w:rsidRDefault="0011787F" w:rsidP="003B1CE3">
            <w:pPr>
              <w:spacing w:after="0" w:line="240" w:lineRule="auto"/>
              <w:rPr>
                <w:rFonts w:ascii="Verdana" w:hAnsi="Verdana"/>
                <w:color w:val="000000" w:themeColor="text1"/>
                <w:sz w:val="22"/>
                <w:szCs w:val="22"/>
              </w:rPr>
            </w:pPr>
            <w:r w:rsidRPr="008D6AC4">
              <w:rPr>
                <w:rFonts w:ascii="Verdana" w:hAnsi="Verdana"/>
                <w:color w:val="000000" w:themeColor="text1"/>
                <w:sz w:val="22"/>
                <w:szCs w:val="22"/>
              </w:rPr>
              <w:t>No. of EoC Issued By Type (Levonorgesterel)</w:t>
            </w:r>
          </w:p>
        </w:tc>
        <w:tc>
          <w:tcPr>
            <w:tcW w:w="568" w:type="pct"/>
            <w:tcMar>
              <w:left w:w="105" w:type="dxa"/>
              <w:right w:w="105" w:type="dxa"/>
            </w:tcMar>
            <w:vAlign w:val="bottom"/>
          </w:tcPr>
          <w:p w14:paraId="7309F47D" w14:textId="77777777" w:rsidR="0011787F" w:rsidRPr="008D6AC4" w:rsidRDefault="0011787F" w:rsidP="002441B4">
            <w:pPr>
              <w:spacing w:after="0" w:line="240" w:lineRule="auto"/>
              <w:rPr>
                <w:rFonts w:ascii="Verdana" w:hAnsi="Verdana"/>
                <w:color w:val="000000" w:themeColor="text1"/>
                <w:sz w:val="22"/>
                <w:szCs w:val="22"/>
              </w:rPr>
            </w:pPr>
            <w:r w:rsidRPr="008D6AC4">
              <w:rPr>
                <w:rFonts w:ascii="Verdana" w:hAnsi="Verdana"/>
                <w:color w:val="000000" w:themeColor="text1"/>
                <w:sz w:val="22"/>
                <w:szCs w:val="22"/>
              </w:rPr>
              <w:t>1012</w:t>
            </w:r>
          </w:p>
        </w:tc>
        <w:tc>
          <w:tcPr>
            <w:tcW w:w="675" w:type="pct"/>
            <w:tcMar>
              <w:left w:w="105" w:type="dxa"/>
              <w:right w:w="105" w:type="dxa"/>
            </w:tcMar>
            <w:vAlign w:val="bottom"/>
          </w:tcPr>
          <w:p w14:paraId="5FF55E56" w14:textId="77777777" w:rsidR="0011787F" w:rsidRPr="008D6AC4" w:rsidRDefault="0011787F" w:rsidP="002441B4">
            <w:pPr>
              <w:spacing w:after="0" w:line="240" w:lineRule="auto"/>
              <w:rPr>
                <w:rFonts w:ascii="Verdana" w:hAnsi="Verdana"/>
                <w:color w:val="000000" w:themeColor="text1"/>
                <w:sz w:val="22"/>
                <w:szCs w:val="22"/>
              </w:rPr>
            </w:pPr>
            <w:r w:rsidRPr="008D6AC4">
              <w:rPr>
                <w:rFonts w:ascii="Verdana" w:hAnsi="Verdana"/>
                <w:color w:val="000000" w:themeColor="text1"/>
                <w:sz w:val="22"/>
                <w:szCs w:val="22"/>
              </w:rPr>
              <w:t>1282</w:t>
            </w:r>
          </w:p>
        </w:tc>
        <w:tc>
          <w:tcPr>
            <w:tcW w:w="574" w:type="pct"/>
            <w:tcMar>
              <w:left w:w="105" w:type="dxa"/>
              <w:right w:w="105" w:type="dxa"/>
            </w:tcMar>
            <w:vAlign w:val="bottom"/>
          </w:tcPr>
          <w:p w14:paraId="6330FE0E" w14:textId="77777777" w:rsidR="0011787F" w:rsidRPr="008D6AC4" w:rsidRDefault="0011787F" w:rsidP="002441B4">
            <w:pPr>
              <w:spacing w:after="0" w:line="240" w:lineRule="auto"/>
              <w:rPr>
                <w:rFonts w:ascii="Verdana" w:hAnsi="Verdana"/>
                <w:color w:val="000000" w:themeColor="text1"/>
                <w:sz w:val="22"/>
                <w:szCs w:val="22"/>
              </w:rPr>
            </w:pPr>
            <w:r w:rsidRPr="008D6AC4">
              <w:rPr>
                <w:rFonts w:ascii="Verdana" w:hAnsi="Verdana"/>
                <w:color w:val="000000" w:themeColor="text1"/>
                <w:sz w:val="22"/>
                <w:szCs w:val="22"/>
              </w:rPr>
              <w:t>1094</w:t>
            </w:r>
          </w:p>
        </w:tc>
      </w:tr>
      <w:tr w:rsidR="0011787F" w:rsidRPr="008D6AC4" w14:paraId="5F317D0D" w14:textId="77777777" w:rsidTr="0E4D9769">
        <w:trPr>
          <w:trHeight w:val="300"/>
        </w:trPr>
        <w:tc>
          <w:tcPr>
            <w:tcW w:w="3184" w:type="pct"/>
            <w:tcMar>
              <w:left w:w="105" w:type="dxa"/>
              <w:right w:w="105" w:type="dxa"/>
            </w:tcMar>
            <w:vAlign w:val="bottom"/>
          </w:tcPr>
          <w:p w14:paraId="378D4200" w14:textId="77777777" w:rsidR="0011787F" w:rsidRPr="008D6AC4" w:rsidRDefault="0011787F" w:rsidP="003B1CE3">
            <w:pPr>
              <w:spacing w:after="0" w:line="240" w:lineRule="auto"/>
              <w:rPr>
                <w:rFonts w:ascii="Verdana" w:hAnsi="Verdana"/>
                <w:color w:val="000000" w:themeColor="text1"/>
                <w:sz w:val="22"/>
                <w:szCs w:val="22"/>
              </w:rPr>
            </w:pPr>
            <w:r w:rsidRPr="008D6AC4">
              <w:rPr>
                <w:rFonts w:ascii="Verdana" w:hAnsi="Verdana"/>
                <w:color w:val="000000" w:themeColor="text1"/>
                <w:sz w:val="22"/>
                <w:szCs w:val="22"/>
              </w:rPr>
              <w:t>No. of EoC Issued By Type (Ulipristal)</w:t>
            </w:r>
          </w:p>
        </w:tc>
        <w:tc>
          <w:tcPr>
            <w:tcW w:w="568" w:type="pct"/>
            <w:tcMar>
              <w:left w:w="105" w:type="dxa"/>
              <w:right w:w="105" w:type="dxa"/>
            </w:tcMar>
            <w:vAlign w:val="bottom"/>
          </w:tcPr>
          <w:p w14:paraId="4129DC02" w14:textId="77777777" w:rsidR="0011787F" w:rsidRPr="008D6AC4" w:rsidRDefault="0011787F" w:rsidP="002441B4">
            <w:pPr>
              <w:spacing w:after="0" w:line="240" w:lineRule="auto"/>
              <w:rPr>
                <w:rFonts w:ascii="Verdana" w:hAnsi="Verdana"/>
                <w:color w:val="000000" w:themeColor="text1"/>
                <w:sz w:val="22"/>
                <w:szCs w:val="22"/>
              </w:rPr>
            </w:pPr>
            <w:r w:rsidRPr="008D6AC4">
              <w:rPr>
                <w:rFonts w:ascii="Verdana" w:hAnsi="Verdana"/>
                <w:color w:val="000000" w:themeColor="text1"/>
                <w:sz w:val="22"/>
                <w:szCs w:val="22"/>
              </w:rPr>
              <w:t>2299</w:t>
            </w:r>
          </w:p>
        </w:tc>
        <w:tc>
          <w:tcPr>
            <w:tcW w:w="675" w:type="pct"/>
            <w:tcMar>
              <w:left w:w="105" w:type="dxa"/>
              <w:right w:w="105" w:type="dxa"/>
            </w:tcMar>
            <w:vAlign w:val="bottom"/>
          </w:tcPr>
          <w:p w14:paraId="7DEA02AD" w14:textId="77777777" w:rsidR="0011787F" w:rsidRPr="008D6AC4" w:rsidRDefault="0011787F" w:rsidP="002441B4">
            <w:pPr>
              <w:spacing w:after="0" w:line="240" w:lineRule="auto"/>
              <w:rPr>
                <w:rFonts w:ascii="Verdana" w:hAnsi="Verdana"/>
                <w:color w:val="000000" w:themeColor="text1"/>
                <w:sz w:val="22"/>
                <w:szCs w:val="22"/>
              </w:rPr>
            </w:pPr>
            <w:r w:rsidRPr="008D6AC4">
              <w:rPr>
                <w:rFonts w:ascii="Verdana" w:hAnsi="Verdana"/>
                <w:color w:val="000000" w:themeColor="text1"/>
                <w:sz w:val="22"/>
                <w:szCs w:val="22"/>
              </w:rPr>
              <w:t>2961</w:t>
            </w:r>
          </w:p>
        </w:tc>
        <w:tc>
          <w:tcPr>
            <w:tcW w:w="574" w:type="pct"/>
            <w:tcMar>
              <w:left w:w="105" w:type="dxa"/>
              <w:right w:w="105" w:type="dxa"/>
            </w:tcMar>
            <w:vAlign w:val="bottom"/>
          </w:tcPr>
          <w:p w14:paraId="1575B1C5" w14:textId="77777777" w:rsidR="0011787F" w:rsidRPr="008D6AC4" w:rsidRDefault="0011787F" w:rsidP="002441B4">
            <w:pPr>
              <w:spacing w:after="0" w:line="240" w:lineRule="auto"/>
              <w:rPr>
                <w:rFonts w:ascii="Verdana" w:hAnsi="Verdana"/>
                <w:color w:val="000000" w:themeColor="text1"/>
                <w:sz w:val="22"/>
                <w:szCs w:val="22"/>
              </w:rPr>
            </w:pPr>
            <w:r w:rsidRPr="008D6AC4">
              <w:rPr>
                <w:rFonts w:ascii="Verdana" w:hAnsi="Verdana"/>
                <w:color w:val="000000" w:themeColor="text1"/>
                <w:sz w:val="22"/>
                <w:szCs w:val="22"/>
              </w:rPr>
              <w:t>1804</w:t>
            </w:r>
          </w:p>
        </w:tc>
      </w:tr>
      <w:tr w:rsidR="0011787F" w:rsidRPr="008D6AC4" w14:paraId="532FC46A" w14:textId="77777777" w:rsidTr="0E4D9769">
        <w:trPr>
          <w:trHeight w:val="300"/>
        </w:trPr>
        <w:tc>
          <w:tcPr>
            <w:tcW w:w="3184" w:type="pct"/>
            <w:tcMar>
              <w:left w:w="105" w:type="dxa"/>
              <w:right w:w="105" w:type="dxa"/>
            </w:tcMar>
            <w:vAlign w:val="bottom"/>
          </w:tcPr>
          <w:p w14:paraId="08973531" w14:textId="77777777" w:rsidR="0011787F" w:rsidRPr="008D6AC4" w:rsidRDefault="0011787F" w:rsidP="003B1CE3">
            <w:pPr>
              <w:spacing w:after="0" w:line="240" w:lineRule="auto"/>
              <w:rPr>
                <w:rFonts w:ascii="Verdana" w:hAnsi="Verdana"/>
                <w:color w:val="000000" w:themeColor="text1"/>
                <w:sz w:val="22"/>
                <w:szCs w:val="22"/>
              </w:rPr>
            </w:pPr>
            <w:r w:rsidRPr="008D6AC4">
              <w:rPr>
                <w:rFonts w:ascii="Verdana" w:hAnsi="Verdana"/>
                <w:color w:val="000000" w:themeColor="text1"/>
                <w:sz w:val="22"/>
                <w:szCs w:val="22"/>
              </w:rPr>
              <w:lastRenderedPageBreak/>
              <w:t>No. of Doxycycline Dispensed (Chlamydia Treatment)</w:t>
            </w:r>
          </w:p>
        </w:tc>
        <w:tc>
          <w:tcPr>
            <w:tcW w:w="568" w:type="pct"/>
            <w:tcMar>
              <w:left w:w="105" w:type="dxa"/>
              <w:right w:w="105" w:type="dxa"/>
            </w:tcMar>
            <w:vAlign w:val="bottom"/>
          </w:tcPr>
          <w:p w14:paraId="2BE047A2" w14:textId="77777777" w:rsidR="0011787F" w:rsidRPr="008D6AC4" w:rsidRDefault="0011787F" w:rsidP="002441B4">
            <w:pPr>
              <w:spacing w:after="0" w:line="240" w:lineRule="auto"/>
              <w:rPr>
                <w:rFonts w:ascii="Verdana" w:hAnsi="Verdana"/>
                <w:color w:val="000000" w:themeColor="text1"/>
                <w:sz w:val="22"/>
                <w:szCs w:val="22"/>
              </w:rPr>
            </w:pPr>
            <w:r w:rsidRPr="008D6AC4">
              <w:rPr>
                <w:rFonts w:ascii="Verdana" w:hAnsi="Verdana"/>
                <w:color w:val="000000" w:themeColor="text1"/>
                <w:sz w:val="22"/>
                <w:szCs w:val="22"/>
              </w:rPr>
              <w:t>571</w:t>
            </w:r>
          </w:p>
        </w:tc>
        <w:tc>
          <w:tcPr>
            <w:tcW w:w="675" w:type="pct"/>
            <w:tcMar>
              <w:left w:w="105" w:type="dxa"/>
              <w:right w:w="105" w:type="dxa"/>
            </w:tcMar>
            <w:vAlign w:val="bottom"/>
          </w:tcPr>
          <w:p w14:paraId="5628D97B" w14:textId="77777777" w:rsidR="0011787F" w:rsidRPr="008D6AC4" w:rsidRDefault="0011787F" w:rsidP="002441B4">
            <w:pPr>
              <w:spacing w:after="0" w:line="240" w:lineRule="auto"/>
              <w:rPr>
                <w:rFonts w:ascii="Verdana" w:hAnsi="Verdana"/>
                <w:color w:val="000000" w:themeColor="text1"/>
                <w:sz w:val="22"/>
                <w:szCs w:val="22"/>
              </w:rPr>
            </w:pPr>
            <w:r w:rsidRPr="008D6AC4">
              <w:rPr>
                <w:rFonts w:ascii="Verdana" w:hAnsi="Verdana"/>
                <w:color w:val="000000" w:themeColor="text1"/>
                <w:sz w:val="22"/>
                <w:szCs w:val="22"/>
              </w:rPr>
              <w:t>516</w:t>
            </w:r>
          </w:p>
        </w:tc>
        <w:tc>
          <w:tcPr>
            <w:tcW w:w="574" w:type="pct"/>
            <w:tcMar>
              <w:left w:w="105" w:type="dxa"/>
              <w:right w:w="105" w:type="dxa"/>
            </w:tcMar>
            <w:vAlign w:val="bottom"/>
          </w:tcPr>
          <w:p w14:paraId="782C3665" w14:textId="77777777" w:rsidR="0011787F" w:rsidRPr="008D6AC4" w:rsidRDefault="0011787F" w:rsidP="002441B4">
            <w:pPr>
              <w:spacing w:after="0" w:line="240" w:lineRule="auto"/>
              <w:rPr>
                <w:rFonts w:ascii="Verdana" w:hAnsi="Verdana"/>
                <w:color w:val="000000" w:themeColor="text1"/>
                <w:sz w:val="22"/>
                <w:szCs w:val="22"/>
              </w:rPr>
            </w:pPr>
            <w:r w:rsidRPr="008D6AC4">
              <w:rPr>
                <w:rFonts w:ascii="Verdana" w:hAnsi="Verdana"/>
                <w:color w:val="000000" w:themeColor="text1"/>
                <w:sz w:val="22"/>
                <w:szCs w:val="22"/>
              </w:rPr>
              <w:t>821</w:t>
            </w:r>
          </w:p>
        </w:tc>
      </w:tr>
    </w:tbl>
    <w:p w14:paraId="6A8EFCEF" w14:textId="77777777" w:rsidR="0011787F" w:rsidRPr="008D6AC4" w:rsidRDefault="0011787F" w:rsidP="0011787F">
      <w:pPr>
        <w:shd w:val="clear" w:color="auto" w:fill="FFFFFF" w:themeFill="background1"/>
        <w:spacing w:after="0"/>
        <w:jc w:val="both"/>
        <w:rPr>
          <w:rFonts w:ascii="Verdana" w:hAnsi="Verdana"/>
          <w:color w:val="000000" w:themeColor="text1"/>
          <w:sz w:val="22"/>
          <w:szCs w:val="22"/>
        </w:rPr>
      </w:pPr>
      <w:r w:rsidRPr="008D6AC4">
        <w:rPr>
          <w:rFonts w:ascii="Verdana" w:hAnsi="Verdana"/>
          <w:color w:val="000000" w:themeColor="text1"/>
          <w:sz w:val="22"/>
          <w:szCs w:val="22"/>
        </w:rPr>
        <w:t>Of note, the total number of doxycycline dispensed between 2020 and 2023 is far below the number of chlamydia diagnoses from the online STI testing service. Between Q1 2020 and Nov 2022 there were 1,908 doxycycline treatments for 4,760 positive chlamydia tests.</w:t>
      </w:r>
    </w:p>
    <w:p w14:paraId="0A8A4248" w14:textId="77777777" w:rsidR="0011787F" w:rsidRPr="008D6AC4" w:rsidRDefault="0011787F" w:rsidP="0011787F">
      <w:pPr>
        <w:jc w:val="both"/>
        <w:rPr>
          <w:rFonts w:ascii="Verdana" w:hAnsi="Verdana"/>
          <w:color w:val="000000" w:themeColor="text1"/>
          <w:sz w:val="22"/>
          <w:szCs w:val="22"/>
        </w:rPr>
      </w:pPr>
      <w:r w:rsidRPr="008D6AC4">
        <w:rPr>
          <w:rFonts w:ascii="Verdana" w:hAnsi="Verdana"/>
          <w:color w:val="000000" w:themeColor="text1"/>
          <w:sz w:val="22"/>
          <w:szCs w:val="22"/>
        </w:rPr>
        <w:t>A national survey by NHS England on public perceptions of community pharmacy showed that only 17% of respondents would be likely to ask a pharmacy for advice on contraception and only 30% thought their local pharmacy offered oral contraception of EoC. Insights data for Kent would be useful to understand the public awareness of the pharmacy sexual health service.</w:t>
      </w:r>
    </w:p>
    <w:p w14:paraId="751D7562" w14:textId="77777777" w:rsidR="0011787F" w:rsidRPr="008D6AC4" w:rsidRDefault="0011787F" w:rsidP="0011787F">
      <w:pPr>
        <w:jc w:val="both"/>
        <w:rPr>
          <w:rFonts w:ascii="Verdana" w:hAnsi="Verdana"/>
          <w:color w:val="000000" w:themeColor="text1"/>
          <w:sz w:val="22"/>
          <w:szCs w:val="22"/>
        </w:rPr>
      </w:pPr>
      <w:r w:rsidRPr="008D6AC4">
        <w:rPr>
          <w:rFonts w:ascii="Verdana" w:hAnsi="Verdana"/>
          <w:color w:val="000000" w:themeColor="text1"/>
          <w:sz w:val="22"/>
          <w:szCs w:val="22"/>
        </w:rPr>
        <w:t>The pharmacy services are promoted on the KCC and KCHFT sexual health website pages. Information on awareness of the pharmacy service amongst Kent residents is unknown, and a lack of awareness could increase pressure on the integrated sexual health clinics. Given the need for timely access of emergency contraception, awareness of this service is important.</w:t>
      </w:r>
    </w:p>
    <w:p w14:paraId="062D1768" w14:textId="77777777" w:rsidR="0011787F" w:rsidRPr="00864DDB" w:rsidRDefault="6B0FBA72" w:rsidP="0011787F">
      <w:pPr>
        <w:jc w:val="both"/>
        <w:rPr>
          <w:rFonts w:ascii="Verdana" w:hAnsi="Verdana"/>
          <w:color w:val="000000" w:themeColor="text1"/>
          <w:sz w:val="22"/>
          <w:szCs w:val="22"/>
        </w:rPr>
      </w:pPr>
      <w:r w:rsidRPr="008D6AC4">
        <w:rPr>
          <w:rFonts w:ascii="Verdana" w:hAnsi="Verdana"/>
          <w:color w:val="000000" w:themeColor="text1"/>
          <w:sz w:val="22"/>
          <w:szCs w:val="22"/>
        </w:rPr>
        <w:t xml:space="preserve">There have been concerns raised by the Local Pharmaceutical Committee (LPC) that </w:t>
      </w:r>
      <w:r w:rsidRPr="00864DDB">
        <w:rPr>
          <w:rFonts w:ascii="Verdana" w:hAnsi="Verdana"/>
          <w:color w:val="000000" w:themeColor="text1"/>
          <w:sz w:val="22"/>
          <w:szCs w:val="22"/>
        </w:rPr>
        <w:t>represents pharmacies in Kent that the tariffs offered</w:t>
      </w:r>
      <w:r w:rsidR="5D36F0F9" w:rsidRPr="00864DDB">
        <w:rPr>
          <w:rFonts w:ascii="Verdana" w:hAnsi="Verdana"/>
          <w:color w:val="000000" w:themeColor="text1"/>
          <w:sz w:val="22"/>
          <w:szCs w:val="22"/>
        </w:rPr>
        <w:t xml:space="preserve"> are not commercially competitive.</w:t>
      </w:r>
      <w:r w:rsidRPr="00864DDB">
        <w:rPr>
          <w:rFonts w:ascii="Verdana" w:hAnsi="Verdana"/>
          <w:color w:val="000000" w:themeColor="text1"/>
          <w:sz w:val="22"/>
          <w:szCs w:val="22"/>
        </w:rPr>
        <w:t xml:space="preserve"> </w:t>
      </w:r>
    </w:p>
    <w:p w14:paraId="0AE7AC5A" w14:textId="77777777" w:rsidR="0011787F" w:rsidRPr="0089791B" w:rsidRDefault="67D911D5" w:rsidP="136F3BEB">
      <w:pPr>
        <w:pStyle w:val="Heading2"/>
        <w:numPr>
          <w:ilvl w:val="0"/>
          <w:numId w:val="0"/>
        </w:numPr>
        <w:rPr>
          <w:rFonts w:ascii="Verdana" w:hAnsi="Verdana" w:cstheme="minorBidi"/>
          <w:sz w:val="22"/>
          <w:szCs w:val="22"/>
        </w:rPr>
      </w:pPr>
      <w:bookmarkStart w:id="60" w:name="_Toc199589182"/>
      <w:r w:rsidRPr="136F3BEB">
        <w:rPr>
          <w:rFonts w:ascii="Verdana" w:hAnsi="Verdana"/>
          <w:sz w:val="22"/>
          <w:szCs w:val="22"/>
        </w:rPr>
        <w:t xml:space="preserve">5.5.2 </w:t>
      </w:r>
      <w:r w:rsidR="2445C4E4" w:rsidRPr="136F3BEB">
        <w:rPr>
          <w:rFonts w:ascii="Verdana" w:hAnsi="Verdana" w:cstheme="minorBidi"/>
          <w:sz w:val="22"/>
          <w:szCs w:val="22"/>
        </w:rPr>
        <w:t>Strengths of the Pharmacy Sexual Health Service</w:t>
      </w:r>
      <w:bookmarkEnd w:id="60"/>
    </w:p>
    <w:p w14:paraId="74CBBBAE" w14:textId="77777777" w:rsidR="0011787F" w:rsidRPr="00864DDB" w:rsidRDefault="0011787F" w:rsidP="00F8351F">
      <w:pPr>
        <w:pStyle w:val="ListParagraph"/>
        <w:numPr>
          <w:ilvl w:val="0"/>
          <w:numId w:val="14"/>
        </w:numPr>
        <w:spacing w:before="0" w:after="160" w:line="259" w:lineRule="auto"/>
        <w:jc w:val="both"/>
        <w:rPr>
          <w:rFonts w:ascii="Verdana" w:hAnsi="Verdana"/>
          <w:b/>
          <w:bCs/>
          <w:sz w:val="22"/>
          <w:szCs w:val="22"/>
        </w:rPr>
      </w:pPr>
      <w:r w:rsidRPr="00864DDB">
        <w:rPr>
          <w:rFonts w:ascii="Verdana" w:hAnsi="Verdana"/>
          <w:sz w:val="22"/>
          <w:szCs w:val="22"/>
        </w:rPr>
        <w:t>Pharmacy dispensing of repeat contraception allows the opportunity to increase awareness of other sexual health services offered by the pharmacy service</w:t>
      </w:r>
    </w:p>
    <w:p w14:paraId="46EBEAE3" w14:textId="77777777" w:rsidR="0011787F" w:rsidRPr="00864DDB" w:rsidRDefault="0011787F" w:rsidP="00F8351F">
      <w:pPr>
        <w:pStyle w:val="ListParagraph"/>
        <w:numPr>
          <w:ilvl w:val="0"/>
          <w:numId w:val="14"/>
        </w:numPr>
        <w:spacing w:before="0" w:after="160" w:line="259" w:lineRule="auto"/>
        <w:jc w:val="both"/>
        <w:rPr>
          <w:rFonts w:ascii="Verdana" w:hAnsi="Verdana"/>
          <w:sz w:val="22"/>
          <w:szCs w:val="22"/>
        </w:rPr>
      </w:pPr>
      <w:r w:rsidRPr="00864DDB">
        <w:rPr>
          <w:rFonts w:ascii="Verdana" w:hAnsi="Verdana"/>
          <w:sz w:val="22"/>
          <w:szCs w:val="22"/>
        </w:rPr>
        <w:t>Pharmacy locations and availability of opening times often are suitable to patients needs</w:t>
      </w:r>
    </w:p>
    <w:p w14:paraId="639ED6DC" w14:textId="77777777" w:rsidR="0011787F" w:rsidRPr="0089791B" w:rsidRDefault="77E4AD6B" w:rsidP="136F3BEB">
      <w:pPr>
        <w:pStyle w:val="Heading2"/>
        <w:numPr>
          <w:ilvl w:val="0"/>
          <w:numId w:val="0"/>
        </w:numPr>
        <w:rPr>
          <w:rFonts w:ascii="Verdana" w:hAnsi="Verdana" w:cstheme="minorBidi"/>
          <w:sz w:val="22"/>
          <w:szCs w:val="22"/>
        </w:rPr>
      </w:pPr>
      <w:bookmarkStart w:id="61" w:name="_Toc1689449781"/>
      <w:r w:rsidRPr="136F3BEB">
        <w:rPr>
          <w:rFonts w:ascii="Verdana" w:hAnsi="Verdana"/>
          <w:sz w:val="22"/>
          <w:szCs w:val="22"/>
        </w:rPr>
        <w:t xml:space="preserve">5.5.3 </w:t>
      </w:r>
      <w:r w:rsidR="2445C4E4" w:rsidRPr="136F3BEB">
        <w:rPr>
          <w:rFonts w:ascii="Verdana" w:hAnsi="Verdana" w:cstheme="minorBidi"/>
          <w:sz w:val="22"/>
          <w:szCs w:val="22"/>
        </w:rPr>
        <w:t>Possible Transformation Recommendations</w:t>
      </w:r>
      <w:bookmarkEnd w:id="61"/>
    </w:p>
    <w:p w14:paraId="5FA5B24D" w14:textId="77777777" w:rsidR="0011787F" w:rsidRPr="00864DDB" w:rsidRDefault="0011787F" w:rsidP="00F8351F">
      <w:pPr>
        <w:pStyle w:val="ListParagraph"/>
        <w:numPr>
          <w:ilvl w:val="0"/>
          <w:numId w:val="15"/>
        </w:numPr>
        <w:spacing w:before="0" w:after="160" w:line="259" w:lineRule="auto"/>
        <w:jc w:val="both"/>
        <w:rPr>
          <w:rFonts w:ascii="Verdana" w:hAnsi="Verdana"/>
          <w:sz w:val="22"/>
          <w:szCs w:val="22"/>
        </w:rPr>
      </w:pPr>
      <w:r w:rsidRPr="00864DDB">
        <w:rPr>
          <w:rFonts w:ascii="Verdana" w:hAnsi="Verdana"/>
          <w:sz w:val="22"/>
          <w:szCs w:val="22"/>
        </w:rPr>
        <w:t xml:space="preserve">Review of chlamydia treatment patient pathway for duplication of consultations and payment tariff for pharmacies. </w:t>
      </w:r>
    </w:p>
    <w:p w14:paraId="72B621E4" w14:textId="77777777" w:rsidR="0011787F" w:rsidRPr="008D6AC4" w:rsidRDefault="0011787F" w:rsidP="00F8351F">
      <w:pPr>
        <w:pStyle w:val="ListParagraph"/>
        <w:numPr>
          <w:ilvl w:val="0"/>
          <w:numId w:val="15"/>
        </w:numPr>
        <w:spacing w:before="0" w:after="160" w:line="259" w:lineRule="auto"/>
        <w:jc w:val="both"/>
        <w:rPr>
          <w:rFonts w:ascii="Verdana" w:hAnsi="Verdana"/>
          <w:sz w:val="22"/>
          <w:szCs w:val="22"/>
        </w:rPr>
      </w:pPr>
      <w:r w:rsidRPr="00864DDB">
        <w:rPr>
          <w:rFonts w:ascii="Verdana" w:hAnsi="Verdana"/>
          <w:sz w:val="22"/>
          <w:szCs w:val="22"/>
        </w:rPr>
        <w:t>Review of the data submitted for chlamydia treatments, given the low number of prescriptions</w:t>
      </w:r>
      <w:r w:rsidRPr="008D6AC4">
        <w:rPr>
          <w:rFonts w:ascii="Verdana" w:hAnsi="Verdana"/>
          <w:sz w:val="22"/>
          <w:szCs w:val="22"/>
        </w:rPr>
        <w:t xml:space="preserve"> issue compared to the number of positive tests.</w:t>
      </w:r>
    </w:p>
    <w:p w14:paraId="503F1393" w14:textId="77777777" w:rsidR="0011787F" w:rsidRPr="008D6AC4" w:rsidRDefault="0011787F" w:rsidP="00F8351F">
      <w:pPr>
        <w:pStyle w:val="ListParagraph"/>
        <w:numPr>
          <w:ilvl w:val="0"/>
          <w:numId w:val="15"/>
        </w:numPr>
        <w:spacing w:before="0" w:after="160" w:line="259" w:lineRule="auto"/>
        <w:jc w:val="both"/>
        <w:rPr>
          <w:rFonts w:ascii="Verdana" w:hAnsi="Verdana"/>
          <w:sz w:val="22"/>
          <w:szCs w:val="22"/>
        </w:rPr>
      </w:pPr>
      <w:r w:rsidRPr="008D6AC4">
        <w:rPr>
          <w:rFonts w:ascii="Verdana" w:hAnsi="Verdana"/>
          <w:sz w:val="22"/>
          <w:szCs w:val="22"/>
        </w:rPr>
        <w:t xml:space="preserve">Review the location of pharmacies offering the service to establish if there is an inequity in coverage of pharmacies across the county </w:t>
      </w:r>
    </w:p>
    <w:p w14:paraId="1EDED009" w14:textId="77777777" w:rsidR="0011787F" w:rsidRPr="008D6AC4" w:rsidRDefault="0011787F" w:rsidP="00F8351F">
      <w:pPr>
        <w:pStyle w:val="ListParagraph"/>
        <w:numPr>
          <w:ilvl w:val="0"/>
          <w:numId w:val="15"/>
        </w:numPr>
        <w:spacing w:before="0" w:after="160" w:line="259" w:lineRule="auto"/>
        <w:jc w:val="both"/>
        <w:rPr>
          <w:rFonts w:ascii="Verdana" w:hAnsi="Verdana"/>
          <w:sz w:val="22"/>
          <w:szCs w:val="22"/>
        </w:rPr>
      </w:pPr>
      <w:r w:rsidRPr="008D6AC4">
        <w:rPr>
          <w:rFonts w:ascii="Verdana" w:hAnsi="Verdana"/>
          <w:sz w:val="22"/>
          <w:szCs w:val="22"/>
        </w:rPr>
        <w:t>Insights data to understand awareness and effectiveness of pharmacy sexual health service</w:t>
      </w:r>
      <w:r w:rsidR="00670255">
        <w:rPr>
          <w:rFonts w:ascii="Verdana" w:hAnsi="Verdana"/>
          <w:sz w:val="22"/>
          <w:szCs w:val="22"/>
        </w:rPr>
        <w:t xml:space="preserve"> by engagement work with local population groups, particularly those in under-represented or most at-risk groups locally. </w:t>
      </w:r>
    </w:p>
    <w:p w14:paraId="64DFB6BE" w14:textId="77777777" w:rsidR="0011787F" w:rsidRPr="008D6AC4" w:rsidRDefault="09A02040" w:rsidP="136F3BEB">
      <w:pPr>
        <w:pStyle w:val="Heading2"/>
        <w:numPr>
          <w:ilvl w:val="0"/>
          <w:numId w:val="0"/>
        </w:numPr>
        <w:rPr>
          <w:rFonts w:ascii="Verdana" w:eastAsiaTheme="minorEastAsia" w:hAnsi="Verdana" w:cstheme="minorBidi"/>
          <w:sz w:val="24"/>
          <w:szCs w:val="24"/>
        </w:rPr>
      </w:pPr>
      <w:bookmarkStart w:id="62" w:name="_Toc1047864675"/>
      <w:r w:rsidRPr="136F3BEB">
        <w:rPr>
          <w:rFonts w:ascii="Verdana" w:eastAsiaTheme="minorEastAsia" w:hAnsi="Verdana" w:cstheme="minorBidi"/>
          <w:sz w:val="24"/>
          <w:szCs w:val="24"/>
        </w:rPr>
        <w:t xml:space="preserve">5.6 </w:t>
      </w:r>
      <w:r w:rsidR="2445C4E4" w:rsidRPr="136F3BEB">
        <w:rPr>
          <w:rFonts w:ascii="Verdana" w:eastAsiaTheme="minorEastAsia" w:hAnsi="Verdana" w:cstheme="minorBidi"/>
          <w:sz w:val="24"/>
          <w:szCs w:val="24"/>
        </w:rPr>
        <w:t>Get It Condom Programme</w:t>
      </w:r>
      <w:bookmarkEnd w:id="62"/>
    </w:p>
    <w:p w14:paraId="7572902E" w14:textId="77777777" w:rsidR="0011787F" w:rsidRPr="008D6AC4" w:rsidRDefault="0011787F" w:rsidP="0011787F">
      <w:pPr>
        <w:jc w:val="both"/>
        <w:rPr>
          <w:rFonts w:ascii="Verdana" w:hAnsi="Verdana"/>
          <w:sz w:val="22"/>
          <w:szCs w:val="22"/>
        </w:rPr>
      </w:pPr>
      <w:r w:rsidRPr="008D6AC4">
        <w:rPr>
          <w:rFonts w:ascii="Verdana" w:hAnsi="Verdana"/>
          <w:sz w:val="22"/>
          <w:szCs w:val="22"/>
        </w:rPr>
        <w:t xml:space="preserve">The Get It condom programme is outsourced and provided by METRO. Young people living, studying or working in Kent, aged 24 years and under are eligible for the programme, with the aim of minimising barriers to condom access in young people. As highlighted in above sections young people experiences a </w:t>
      </w:r>
      <w:r w:rsidRPr="008D6AC4">
        <w:rPr>
          <w:rFonts w:ascii="Verdana" w:hAnsi="Verdana"/>
          <w:sz w:val="22"/>
          <w:szCs w:val="22"/>
        </w:rPr>
        <w:lastRenderedPageBreak/>
        <w:t xml:space="preserve">higher prevalence of STIs and therefore this programme was designed to help the poor sexual health prevention agenda for this age group. </w:t>
      </w:r>
    </w:p>
    <w:p w14:paraId="471229E6" w14:textId="77777777" w:rsidR="0011787F" w:rsidRPr="008D6AC4" w:rsidRDefault="0011787F" w:rsidP="0011787F">
      <w:pPr>
        <w:jc w:val="both"/>
        <w:rPr>
          <w:rFonts w:ascii="Verdana" w:hAnsi="Verdana"/>
          <w:sz w:val="22"/>
          <w:szCs w:val="22"/>
        </w:rPr>
      </w:pPr>
      <w:r w:rsidRPr="008D6AC4">
        <w:rPr>
          <w:rFonts w:ascii="Verdana" w:hAnsi="Verdana"/>
          <w:sz w:val="22"/>
          <w:szCs w:val="22"/>
        </w:rPr>
        <w:t>Online free condoms are accessed on the Get It website, where users register and confirm they are resident in Kent and within the eligible age range. They can order two distributions of condom packs per month, which are posted via Royal Mail. The service offers male and female condoms, dental dams, latex free condoms and lubricant. National shortages of female condoms and dental dams have occurred in the past, with METRO as of Q1 2023/24 now having a surplus of stock as a buffer for future shortages.</w:t>
      </w:r>
    </w:p>
    <w:p w14:paraId="1EDE39B1" w14:textId="77777777" w:rsidR="0011787F" w:rsidRPr="008D6AC4" w:rsidRDefault="0011787F" w:rsidP="0011787F">
      <w:pPr>
        <w:jc w:val="both"/>
        <w:rPr>
          <w:rFonts w:ascii="Verdana" w:hAnsi="Verdana"/>
          <w:sz w:val="22"/>
          <w:szCs w:val="22"/>
        </w:rPr>
      </w:pPr>
      <w:r w:rsidRPr="008D6AC4">
        <w:rPr>
          <w:rFonts w:ascii="Verdana" w:hAnsi="Verdana"/>
          <w:sz w:val="22"/>
          <w:szCs w:val="22"/>
        </w:rPr>
        <w:t xml:space="preserve">Local organisations can sign up with METRO to become condom distribution sites and make orders when required via a specific digital link. A challenge for the distribution service is encouraging settings to become distribution sites without additional funding, in particular for pharmacies. There has also been anecdotal feedback that some schools or colleges have been unable to release staff for METRO training days, limiting their ability to become distribution sites. Metro has recently established distribution sites in several McDonalds outlets in Kent for staff members to access free condoms, namely in Folkestone and Ashford in a bid to help reduce staff abortions. This is innovative and responsive to need and demonstrates the diversity of options that Metro can explore and implement. </w:t>
      </w:r>
    </w:p>
    <w:p w14:paraId="4E580CAC" w14:textId="77777777" w:rsidR="0011787F" w:rsidRPr="008D6AC4" w:rsidRDefault="0011787F" w:rsidP="0011787F">
      <w:pPr>
        <w:jc w:val="both"/>
        <w:rPr>
          <w:rFonts w:ascii="Verdana" w:hAnsi="Verdana"/>
          <w:sz w:val="22"/>
          <w:szCs w:val="22"/>
        </w:rPr>
      </w:pPr>
      <w:r w:rsidRPr="008D6AC4">
        <w:rPr>
          <w:rFonts w:ascii="Verdana" w:hAnsi="Verdana"/>
          <w:sz w:val="22"/>
          <w:szCs w:val="22"/>
        </w:rPr>
        <w:t>METRO provide training to a range of people, delivered as a ‘Brief Intervention in Sexual Health’ session which covers information about sexual health and the services available for sexual health. They previously delivered sessions in schools and colleges, moving to a train the trainer model for professionals to increase their knowledge and confidence in conversations with young people about sexual health. However, in June 2023 the service specification was revised, removing educational sessions in schools given the policy changes by the Department of Education highlighting the responsibility of schools to provide this. METRO have continued to provide sessions in Special Educational Needs schools, using this as a method of outreach, although this is not in line with the service specification.</w:t>
      </w:r>
    </w:p>
    <w:p w14:paraId="22EB065E" w14:textId="77777777" w:rsidR="0011787F" w:rsidRPr="008D6AC4" w:rsidRDefault="0011787F" w:rsidP="0011787F">
      <w:pPr>
        <w:jc w:val="both"/>
        <w:rPr>
          <w:rFonts w:ascii="Verdana" w:hAnsi="Verdana"/>
          <w:sz w:val="22"/>
          <w:szCs w:val="22"/>
        </w:rPr>
      </w:pPr>
      <w:r w:rsidRPr="008D6AC4">
        <w:rPr>
          <w:rFonts w:ascii="Verdana" w:hAnsi="Verdana"/>
          <w:sz w:val="22"/>
          <w:szCs w:val="22"/>
        </w:rPr>
        <w:t xml:space="preserve">The train the trainer sessions aim to increase the number of professionals in Kent who feel confident and equipped to support young people either via their own delivery of RSE sessions, or in conversations as part of their role. </w:t>
      </w:r>
    </w:p>
    <w:p w14:paraId="2D5FFC7F" w14:textId="77777777" w:rsidR="0011787F" w:rsidRPr="008D6AC4" w:rsidRDefault="0011787F" w:rsidP="0011787F">
      <w:pPr>
        <w:jc w:val="both"/>
        <w:rPr>
          <w:rFonts w:ascii="Verdana" w:hAnsi="Verdana"/>
          <w:sz w:val="22"/>
          <w:szCs w:val="22"/>
        </w:rPr>
      </w:pPr>
      <w:r w:rsidRPr="008D6AC4">
        <w:rPr>
          <w:rFonts w:ascii="Verdana" w:hAnsi="Verdana"/>
          <w:sz w:val="22"/>
          <w:szCs w:val="22"/>
        </w:rPr>
        <w:t>There is an outreach element to the service, with targeting of specified groups at highest risk of poor sexual health outcomes, for example children in care. The outreach workers provide in person activities to raise awareness of sexual health and provide support. The service also works with KCHFT and MTW to target outreach efforts, for example for Unaccompanied Asylum-Seeking Children in Kent. It is unclear if all the specified groups in the outreach element are being sufficiently and equally targeted.</w:t>
      </w:r>
    </w:p>
    <w:p w14:paraId="56665E64" w14:textId="77777777" w:rsidR="0011787F" w:rsidRPr="008D6AC4" w:rsidRDefault="0011787F" w:rsidP="0011787F">
      <w:pPr>
        <w:jc w:val="both"/>
        <w:rPr>
          <w:rFonts w:ascii="Verdana" w:hAnsi="Verdana"/>
          <w:sz w:val="22"/>
          <w:szCs w:val="22"/>
        </w:rPr>
      </w:pPr>
      <w:r w:rsidRPr="008D6AC4">
        <w:rPr>
          <w:rFonts w:ascii="Verdana" w:hAnsi="Verdana"/>
          <w:sz w:val="22"/>
          <w:szCs w:val="22"/>
        </w:rPr>
        <w:t xml:space="preserve">METRO use innovative promotional materials in line with trends, for example QR codes linking to the website. They use a range of social medial channels and attend events including university Fresher fayres and LGBTQ+ events. The KCC </w:t>
      </w:r>
      <w:r w:rsidRPr="008D6AC4">
        <w:rPr>
          <w:rFonts w:ascii="Verdana" w:hAnsi="Verdana"/>
          <w:sz w:val="22"/>
          <w:szCs w:val="22"/>
        </w:rPr>
        <w:lastRenderedPageBreak/>
        <w:t>sexual health website and the NHS service directory also links to the Get It website.</w:t>
      </w:r>
    </w:p>
    <w:p w14:paraId="303FFC65" w14:textId="77777777" w:rsidR="0011787F" w:rsidRPr="008D6AC4" w:rsidRDefault="0011787F" w:rsidP="0011787F">
      <w:pPr>
        <w:jc w:val="both"/>
        <w:rPr>
          <w:rFonts w:ascii="Verdana" w:hAnsi="Verdana"/>
          <w:sz w:val="22"/>
          <w:szCs w:val="22"/>
        </w:rPr>
      </w:pPr>
      <w:r w:rsidRPr="008D6AC4">
        <w:rPr>
          <w:rFonts w:ascii="Verdana" w:hAnsi="Verdana"/>
          <w:sz w:val="22"/>
          <w:szCs w:val="22"/>
        </w:rPr>
        <w:t xml:space="preserve">However, during a review of the service in 2021/22, various stakeholders reported limited knowledge of the programme and a KCC survey with 85 respondents found that only 32.6% had heard of Get It. When asked about where young people would source condoms, the post popular response was to ‘buy them’, followed by ‘sexual health clinics’, followed by ‘Get It’. Increasing their visibility should be a priority going forward. </w:t>
      </w:r>
    </w:p>
    <w:p w14:paraId="21C26EE8" w14:textId="77777777" w:rsidR="0011787F" w:rsidRPr="00864DDB" w:rsidRDefault="6B0FBA72" w:rsidP="0011787F">
      <w:pPr>
        <w:rPr>
          <w:rFonts w:ascii="Verdana" w:hAnsi="Verdana"/>
          <w:sz w:val="22"/>
          <w:szCs w:val="22"/>
        </w:rPr>
      </w:pPr>
      <w:r w:rsidRPr="008D6AC4">
        <w:rPr>
          <w:rFonts w:ascii="Verdana" w:hAnsi="Verdana"/>
          <w:sz w:val="22"/>
          <w:szCs w:val="22"/>
        </w:rPr>
        <w:t xml:space="preserve">METRO conducted a user survey in September and October 2023 to help understand young people’s attitudes to sexual health. The results are yet to be analysed but KCC are now working with Metro to ensure this is released promptly. It </w:t>
      </w:r>
      <w:r w:rsidRPr="00864DDB">
        <w:rPr>
          <w:rFonts w:ascii="Verdana" w:hAnsi="Verdana"/>
          <w:sz w:val="22"/>
          <w:szCs w:val="22"/>
        </w:rPr>
        <w:t xml:space="preserve">is recommended that the results of this are used inform progressions in the service offer.  </w:t>
      </w:r>
    </w:p>
    <w:p w14:paraId="3B25874F" w14:textId="77777777" w:rsidR="0011787F" w:rsidRPr="0089791B" w:rsidRDefault="06419670" w:rsidP="136F3BEB">
      <w:pPr>
        <w:pStyle w:val="Heading2"/>
        <w:numPr>
          <w:ilvl w:val="0"/>
          <w:numId w:val="0"/>
        </w:numPr>
        <w:rPr>
          <w:rFonts w:ascii="Verdana" w:hAnsi="Verdana" w:cstheme="minorBidi"/>
          <w:sz w:val="22"/>
          <w:szCs w:val="22"/>
        </w:rPr>
      </w:pPr>
      <w:bookmarkStart w:id="63" w:name="_Toc1983947047"/>
      <w:r w:rsidRPr="136F3BEB">
        <w:rPr>
          <w:rFonts w:ascii="Verdana" w:hAnsi="Verdana"/>
          <w:sz w:val="22"/>
          <w:szCs w:val="22"/>
        </w:rPr>
        <w:t xml:space="preserve">5.6.1 </w:t>
      </w:r>
      <w:r w:rsidR="2445C4E4" w:rsidRPr="136F3BEB">
        <w:rPr>
          <w:rFonts w:ascii="Verdana" w:hAnsi="Verdana" w:cstheme="minorBidi"/>
          <w:sz w:val="22"/>
          <w:szCs w:val="22"/>
        </w:rPr>
        <w:t>Strengths of the Condom Programme</w:t>
      </w:r>
      <w:bookmarkEnd w:id="63"/>
    </w:p>
    <w:p w14:paraId="29C4B10D" w14:textId="77777777" w:rsidR="0011787F" w:rsidRPr="00864DDB" w:rsidRDefault="0011787F" w:rsidP="00F8351F">
      <w:pPr>
        <w:pStyle w:val="ListParagraph"/>
        <w:numPr>
          <w:ilvl w:val="0"/>
          <w:numId w:val="16"/>
        </w:numPr>
        <w:spacing w:before="0" w:after="160" w:line="259" w:lineRule="auto"/>
        <w:jc w:val="both"/>
        <w:rPr>
          <w:rFonts w:ascii="Verdana" w:hAnsi="Verdana"/>
          <w:sz w:val="22"/>
          <w:szCs w:val="22"/>
        </w:rPr>
      </w:pPr>
      <w:r w:rsidRPr="00864DDB">
        <w:rPr>
          <w:rFonts w:ascii="Verdana" w:hAnsi="Verdana"/>
          <w:sz w:val="22"/>
          <w:szCs w:val="22"/>
        </w:rPr>
        <w:t>Use of innovative promotional materials, social media and attendance at events may help increase awareness of the service in young people</w:t>
      </w:r>
    </w:p>
    <w:p w14:paraId="79C900E8" w14:textId="77777777" w:rsidR="0011787F" w:rsidRPr="00864DDB" w:rsidRDefault="0011787F" w:rsidP="00F8351F">
      <w:pPr>
        <w:pStyle w:val="ListParagraph"/>
        <w:numPr>
          <w:ilvl w:val="0"/>
          <w:numId w:val="16"/>
        </w:numPr>
        <w:spacing w:before="0" w:after="160" w:line="259" w:lineRule="auto"/>
        <w:jc w:val="both"/>
        <w:rPr>
          <w:rFonts w:ascii="Verdana" w:hAnsi="Verdana"/>
          <w:sz w:val="22"/>
          <w:szCs w:val="22"/>
        </w:rPr>
      </w:pPr>
      <w:r w:rsidRPr="00864DDB">
        <w:rPr>
          <w:rFonts w:ascii="Verdana" w:hAnsi="Verdana"/>
          <w:sz w:val="22"/>
          <w:szCs w:val="22"/>
        </w:rPr>
        <w:t>Supports prevention agenda of sexual health</w:t>
      </w:r>
    </w:p>
    <w:p w14:paraId="2F34C589" w14:textId="77777777" w:rsidR="0011787F" w:rsidRPr="0089791B" w:rsidRDefault="355089B6" w:rsidP="136F3BEB">
      <w:pPr>
        <w:pStyle w:val="Heading2"/>
        <w:numPr>
          <w:ilvl w:val="0"/>
          <w:numId w:val="0"/>
        </w:numPr>
        <w:rPr>
          <w:rFonts w:ascii="Verdana" w:hAnsi="Verdana" w:cstheme="minorBidi"/>
          <w:sz w:val="22"/>
          <w:szCs w:val="22"/>
        </w:rPr>
      </w:pPr>
      <w:bookmarkStart w:id="64" w:name="_Toc1956880559"/>
      <w:r w:rsidRPr="136F3BEB">
        <w:rPr>
          <w:rFonts w:ascii="Verdana" w:hAnsi="Verdana"/>
          <w:sz w:val="22"/>
          <w:szCs w:val="22"/>
        </w:rPr>
        <w:t xml:space="preserve">5.6.2 </w:t>
      </w:r>
      <w:r w:rsidR="2445C4E4" w:rsidRPr="136F3BEB">
        <w:rPr>
          <w:rFonts w:ascii="Verdana" w:hAnsi="Verdana" w:cstheme="minorBidi"/>
          <w:sz w:val="22"/>
          <w:szCs w:val="22"/>
        </w:rPr>
        <w:t>Possible Transformation Recommendations</w:t>
      </w:r>
      <w:bookmarkEnd w:id="64"/>
    </w:p>
    <w:p w14:paraId="168AD8FC" w14:textId="77777777" w:rsidR="45C1D74E" w:rsidRPr="00864DDB" w:rsidRDefault="45C1D74E" w:rsidP="00F8351F">
      <w:pPr>
        <w:pStyle w:val="ListParagraph"/>
        <w:numPr>
          <w:ilvl w:val="0"/>
          <w:numId w:val="17"/>
        </w:numPr>
        <w:spacing w:before="0" w:after="160" w:line="259" w:lineRule="auto"/>
        <w:jc w:val="both"/>
        <w:rPr>
          <w:rFonts w:ascii="Verdana" w:eastAsia="Verdana" w:hAnsi="Verdana" w:cs="Verdana"/>
          <w:color w:val="000000" w:themeColor="text1"/>
          <w:sz w:val="22"/>
          <w:szCs w:val="22"/>
        </w:rPr>
      </w:pPr>
      <w:r w:rsidRPr="00864DDB">
        <w:rPr>
          <w:rFonts w:ascii="Verdana" w:eastAsia="Verdana" w:hAnsi="Verdana" w:cs="Verdana"/>
          <w:color w:val="000000" w:themeColor="text1"/>
          <w:sz w:val="22"/>
          <w:szCs w:val="22"/>
        </w:rPr>
        <w:t>Review outreach in order to optimise utilisation for population need alongside system thinking approach. There is an overlap with the outreach service in ISH, and it isn’t clear what impact outreach are having on sexual health.  </w:t>
      </w:r>
    </w:p>
    <w:p w14:paraId="67B30892" w14:textId="77777777" w:rsidR="45C1D74E" w:rsidRPr="008D6AC4" w:rsidRDefault="45C1D74E" w:rsidP="00F8351F">
      <w:pPr>
        <w:pStyle w:val="ListParagraph"/>
        <w:numPr>
          <w:ilvl w:val="0"/>
          <w:numId w:val="17"/>
        </w:numPr>
        <w:spacing w:before="0" w:after="0" w:line="259" w:lineRule="auto"/>
        <w:rPr>
          <w:rFonts w:ascii="Verdana" w:eastAsia="Verdana" w:hAnsi="Verdana" w:cs="Verdana"/>
          <w:color w:val="000000" w:themeColor="text1"/>
          <w:sz w:val="22"/>
          <w:szCs w:val="22"/>
        </w:rPr>
      </w:pPr>
      <w:r w:rsidRPr="008D6AC4">
        <w:rPr>
          <w:rFonts w:ascii="Verdana" w:eastAsia="Verdana" w:hAnsi="Verdana" w:cs="Verdana"/>
          <w:color w:val="000000" w:themeColor="text1"/>
          <w:sz w:val="22"/>
          <w:szCs w:val="22"/>
        </w:rPr>
        <w:t>Consider whether condom distribution could be provided by other online services such as the online STI testing service </w:t>
      </w:r>
    </w:p>
    <w:p w14:paraId="5A5CBEC0" w14:textId="77777777" w:rsidR="45C1D74E" w:rsidRPr="008D6AC4" w:rsidRDefault="45C1D74E" w:rsidP="00F8351F">
      <w:pPr>
        <w:pStyle w:val="ListParagraph"/>
        <w:numPr>
          <w:ilvl w:val="0"/>
          <w:numId w:val="17"/>
        </w:numPr>
        <w:spacing w:before="0" w:after="0" w:line="259" w:lineRule="auto"/>
        <w:rPr>
          <w:rFonts w:ascii="Verdana" w:eastAsia="Verdana" w:hAnsi="Verdana" w:cs="Verdana"/>
          <w:color w:val="000000" w:themeColor="text1"/>
          <w:sz w:val="22"/>
          <w:szCs w:val="22"/>
        </w:rPr>
      </w:pPr>
      <w:r w:rsidRPr="008D6AC4">
        <w:rPr>
          <w:rFonts w:ascii="Verdana" w:eastAsia="Verdana" w:hAnsi="Verdana" w:cs="Verdana"/>
          <w:color w:val="000000" w:themeColor="text1"/>
          <w:sz w:val="22"/>
          <w:szCs w:val="22"/>
        </w:rPr>
        <w:t>Consider extension of free condoms to other groups, not just young people, given the rise in STIs.</w:t>
      </w:r>
    </w:p>
    <w:p w14:paraId="330EB34D" w14:textId="77777777" w:rsidR="45C1D74E" w:rsidRPr="008D6AC4" w:rsidRDefault="45C1D74E" w:rsidP="00F8351F">
      <w:pPr>
        <w:pStyle w:val="ListParagraph"/>
        <w:numPr>
          <w:ilvl w:val="0"/>
          <w:numId w:val="17"/>
        </w:numPr>
        <w:spacing w:before="0" w:after="0" w:line="259" w:lineRule="auto"/>
        <w:rPr>
          <w:rFonts w:ascii="Verdana" w:eastAsia="Verdana" w:hAnsi="Verdana" w:cs="Verdana"/>
          <w:color w:val="000000" w:themeColor="text1"/>
          <w:sz w:val="22"/>
          <w:szCs w:val="22"/>
        </w:rPr>
      </w:pPr>
      <w:r w:rsidRPr="008D6AC4">
        <w:rPr>
          <w:rFonts w:ascii="Verdana" w:eastAsia="Verdana" w:hAnsi="Verdana" w:cs="Verdana"/>
          <w:color w:val="000000" w:themeColor="text1"/>
          <w:sz w:val="22"/>
          <w:szCs w:val="22"/>
        </w:rPr>
        <w:t>The results of the Young People’s sexual health attitudes survey are analysed and used to inform progressions in the service offer. </w:t>
      </w:r>
    </w:p>
    <w:p w14:paraId="56016BDC" w14:textId="77777777" w:rsidR="0011787F" w:rsidRPr="008D6AC4" w:rsidRDefault="0D2DAD64" w:rsidP="136F3BEB">
      <w:pPr>
        <w:pStyle w:val="Heading2"/>
        <w:numPr>
          <w:ilvl w:val="0"/>
          <w:numId w:val="0"/>
        </w:numPr>
        <w:rPr>
          <w:rFonts w:ascii="Verdana" w:eastAsiaTheme="minorEastAsia" w:hAnsi="Verdana" w:cstheme="minorBidi"/>
          <w:sz w:val="24"/>
          <w:szCs w:val="24"/>
        </w:rPr>
      </w:pPr>
      <w:bookmarkStart w:id="65" w:name="_Toc2144664619"/>
      <w:r w:rsidRPr="136F3BEB">
        <w:rPr>
          <w:rFonts w:ascii="Verdana" w:eastAsiaTheme="minorEastAsia" w:hAnsi="Verdana" w:cstheme="minorBidi"/>
          <w:sz w:val="24"/>
          <w:szCs w:val="24"/>
        </w:rPr>
        <w:t xml:space="preserve">5.7 </w:t>
      </w:r>
      <w:r w:rsidR="2445C4E4" w:rsidRPr="136F3BEB">
        <w:rPr>
          <w:rFonts w:ascii="Verdana" w:eastAsiaTheme="minorEastAsia" w:hAnsi="Verdana" w:cstheme="minorBidi"/>
          <w:sz w:val="24"/>
          <w:szCs w:val="24"/>
        </w:rPr>
        <w:t>Long-Acting Reversible Contraception (LARC) Services</w:t>
      </w:r>
      <w:bookmarkEnd w:id="65"/>
    </w:p>
    <w:p w14:paraId="0F93BD6D" w14:textId="77777777" w:rsidR="0011787F" w:rsidRPr="008D6AC4" w:rsidRDefault="0011787F" w:rsidP="0011787F">
      <w:pPr>
        <w:jc w:val="both"/>
        <w:rPr>
          <w:rFonts w:ascii="Verdana" w:hAnsi="Verdana"/>
          <w:color w:val="000000" w:themeColor="text1"/>
          <w:sz w:val="22"/>
          <w:szCs w:val="22"/>
        </w:rPr>
      </w:pPr>
      <w:r w:rsidRPr="008D6AC4">
        <w:rPr>
          <w:rFonts w:ascii="Verdana" w:hAnsi="Verdana"/>
          <w:color w:val="000000" w:themeColor="text1"/>
          <w:sz w:val="22"/>
          <w:szCs w:val="22"/>
        </w:rPr>
        <w:t xml:space="preserve">In Kent, LARC is provided mainly in primary care by GP practices but is available in the ISHS where required too as discussed above. Advice on, and access to a wide range of contraceptive options and devices forms part of the mandated services the Local Authority must provide. </w:t>
      </w:r>
    </w:p>
    <w:p w14:paraId="31D6C4A8" w14:textId="77777777" w:rsidR="0011787F" w:rsidRPr="008D6AC4" w:rsidRDefault="3F3D0F0E" w:rsidP="0011787F">
      <w:pPr>
        <w:jc w:val="both"/>
        <w:rPr>
          <w:rFonts w:ascii="Verdana" w:hAnsi="Verdana"/>
          <w:color w:val="000000" w:themeColor="text1"/>
          <w:sz w:val="22"/>
          <w:szCs w:val="22"/>
        </w:rPr>
      </w:pPr>
      <w:r w:rsidRPr="008D6AC4">
        <w:rPr>
          <w:rFonts w:ascii="Verdana" w:hAnsi="Verdana"/>
          <w:color w:val="000000" w:themeColor="text1"/>
          <w:sz w:val="22"/>
          <w:szCs w:val="22"/>
        </w:rPr>
        <w:t>Due to the population and geographical size of Kent (817,000 15</w:t>
      </w:r>
      <w:r w:rsidR="10926C3A" w:rsidRPr="008D6AC4">
        <w:rPr>
          <w:rFonts w:ascii="Verdana" w:hAnsi="Verdana"/>
          <w:color w:val="000000" w:themeColor="text1"/>
          <w:sz w:val="22"/>
          <w:szCs w:val="22"/>
        </w:rPr>
        <w:t xml:space="preserve"> to </w:t>
      </w:r>
      <w:r w:rsidRPr="008D6AC4">
        <w:rPr>
          <w:rFonts w:ascii="Verdana" w:hAnsi="Verdana"/>
          <w:color w:val="000000" w:themeColor="text1"/>
          <w:sz w:val="22"/>
          <w:szCs w:val="22"/>
        </w:rPr>
        <w:t>54</w:t>
      </w:r>
      <w:r w:rsidR="10926C3A" w:rsidRPr="008D6AC4">
        <w:rPr>
          <w:rFonts w:ascii="Verdana" w:hAnsi="Verdana"/>
          <w:color w:val="000000" w:themeColor="text1"/>
          <w:sz w:val="22"/>
          <w:szCs w:val="22"/>
        </w:rPr>
        <w:t xml:space="preserve"> </w:t>
      </w:r>
      <w:r w:rsidRPr="008D6AC4">
        <w:rPr>
          <w:rFonts w:ascii="Verdana" w:hAnsi="Verdana"/>
          <w:color w:val="000000" w:themeColor="text1"/>
          <w:sz w:val="22"/>
          <w:szCs w:val="22"/>
        </w:rPr>
        <w:t>year</w:t>
      </w:r>
      <w:r w:rsidR="10926C3A" w:rsidRPr="008D6AC4">
        <w:rPr>
          <w:rFonts w:ascii="Verdana" w:hAnsi="Verdana"/>
          <w:color w:val="000000" w:themeColor="text1"/>
          <w:sz w:val="22"/>
          <w:szCs w:val="22"/>
        </w:rPr>
        <w:t xml:space="preserve"> </w:t>
      </w:r>
      <w:r w:rsidRPr="008D6AC4">
        <w:rPr>
          <w:rFonts w:ascii="Verdana" w:hAnsi="Verdana"/>
          <w:color w:val="000000" w:themeColor="text1"/>
          <w:sz w:val="22"/>
          <w:szCs w:val="22"/>
        </w:rPr>
        <w:t>old females</w:t>
      </w:r>
      <w:r w:rsidR="0011787F" w:rsidRPr="008D6AC4">
        <w:rPr>
          <w:rStyle w:val="FootnoteReference"/>
          <w:rFonts w:ascii="Verdana" w:hAnsi="Verdana"/>
          <w:color w:val="000000" w:themeColor="text1"/>
          <w:sz w:val="22"/>
          <w:szCs w:val="22"/>
        </w:rPr>
        <w:footnoteReference w:id="100"/>
      </w:r>
      <w:r w:rsidRPr="008D6AC4">
        <w:rPr>
          <w:rFonts w:ascii="Verdana" w:hAnsi="Verdana"/>
          <w:color w:val="000000" w:themeColor="text1"/>
          <w:sz w:val="22"/>
          <w:szCs w:val="22"/>
        </w:rPr>
        <w:t xml:space="preserve">), KCC has </w:t>
      </w:r>
      <w:bookmarkStart w:id="66" w:name="_Int_s08Ce33K"/>
      <w:r w:rsidRPr="008D6AC4">
        <w:rPr>
          <w:rFonts w:ascii="Verdana" w:hAnsi="Verdana"/>
          <w:color w:val="000000" w:themeColor="text1"/>
          <w:sz w:val="22"/>
          <w:szCs w:val="22"/>
        </w:rPr>
        <w:t>a large number of</w:t>
      </w:r>
      <w:bookmarkEnd w:id="66"/>
      <w:r w:rsidRPr="008D6AC4">
        <w:rPr>
          <w:rFonts w:ascii="Verdana" w:hAnsi="Verdana"/>
          <w:color w:val="000000" w:themeColor="text1"/>
          <w:sz w:val="22"/>
          <w:szCs w:val="22"/>
        </w:rPr>
        <w:t xml:space="preserve"> practices delivering the LARC service when compared to other authorities in the Southeast. Prior to a re-procurement exercise in 2023/2024, KCC had individual contracts with approximately 115 practices in Kent, around 75% of all Kent practices. From December 2023 a new </w:t>
      </w:r>
      <w:r w:rsidRPr="008D6AC4">
        <w:rPr>
          <w:rFonts w:ascii="Verdana" w:hAnsi="Verdana"/>
          <w:color w:val="000000" w:themeColor="text1"/>
          <w:sz w:val="22"/>
          <w:szCs w:val="22"/>
        </w:rPr>
        <w:lastRenderedPageBreak/>
        <w:t>process was introduced requiring GPs to sign up to the Kent Business Portal and submit a formal tender response. 103 GP practices went through this process and are now delivering LARC in Kent. The reduction can be explained by several factors including the amalgamation of some practices, the</w:t>
      </w:r>
      <w:r w:rsidRPr="008D6AC4">
        <w:rPr>
          <w:rFonts w:ascii="Verdana" w:hAnsi="Verdana"/>
          <w:sz w:val="22"/>
          <w:szCs w:val="22"/>
        </w:rPr>
        <w:t xml:space="preserve"> offer being unattractive for GPs to provide, a skill shortage across the system or capacity issues at GPs (whether that be premises or practitioners)</w:t>
      </w:r>
      <w:r w:rsidRPr="008D6AC4">
        <w:rPr>
          <w:rFonts w:ascii="Verdana" w:hAnsi="Verdana"/>
          <w:color w:val="000000" w:themeColor="text1"/>
          <w:sz w:val="22"/>
          <w:szCs w:val="22"/>
        </w:rPr>
        <w:t xml:space="preserve">. </w:t>
      </w:r>
    </w:p>
    <w:p w14:paraId="17433481" w14:textId="77777777" w:rsidR="0011787F" w:rsidRPr="008D6AC4" w:rsidRDefault="0011787F" w:rsidP="0011787F">
      <w:pPr>
        <w:jc w:val="both"/>
        <w:rPr>
          <w:rFonts w:ascii="Verdana" w:hAnsi="Verdana"/>
          <w:color w:val="000000" w:themeColor="text1"/>
          <w:sz w:val="22"/>
          <w:szCs w:val="22"/>
        </w:rPr>
      </w:pPr>
      <w:r w:rsidRPr="008D6AC4">
        <w:rPr>
          <w:rFonts w:ascii="Verdana" w:hAnsi="Verdana"/>
          <w:color w:val="000000" w:themeColor="text1"/>
          <w:sz w:val="22"/>
          <w:szCs w:val="22"/>
        </w:rPr>
        <w:t xml:space="preserve">Availability of use of LARC services in primary care increases local access and avoids the need to travel longer distances to integrated sexual health clinics. GPs can refer to sexual health services if required, allowing the ISH clinics to see more complex LARC cases. However, Kent and Medway ICS have the lowest number of GPs per head of population in England, meaning the demand for this service may be relatively high. </w:t>
      </w:r>
    </w:p>
    <w:p w14:paraId="0841F9AE" w14:textId="77777777" w:rsidR="0011787F" w:rsidRPr="008D6AC4" w:rsidRDefault="3F3D0F0E" w:rsidP="0011787F">
      <w:pPr>
        <w:jc w:val="both"/>
        <w:rPr>
          <w:rFonts w:ascii="Verdana" w:hAnsi="Verdana"/>
          <w:color w:val="000000" w:themeColor="text1"/>
          <w:sz w:val="22"/>
          <w:szCs w:val="22"/>
        </w:rPr>
      </w:pPr>
      <w:r w:rsidRPr="008D6AC4">
        <w:rPr>
          <w:rFonts w:ascii="Verdana" w:hAnsi="Verdana"/>
          <w:color w:val="000000" w:themeColor="text1"/>
          <w:sz w:val="22"/>
          <w:szCs w:val="22"/>
        </w:rPr>
        <w:t>Population estimates between 2020 to 2030 predict the female population in Kent aged between 15</w:t>
      </w:r>
      <w:r w:rsidR="781D823E" w:rsidRPr="008D6AC4">
        <w:rPr>
          <w:rFonts w:ascii="Verdana" w:hAnsi="Verdana"/>
          <w:color w:val="000000" w:themeColor="text1"/>
          <w:sz w:val="22"/>
          <w:szCs w:val="22"/>
        </w:rPr>
        <w:t xml:space="preserve"> to </w:t>
      </w:r>
      <w:r w:rsidRPr="008D6AC4">
        <w:rPr>
          <w:rFonts w:ascii="Verdana" w:hAnsi="Verdana"/>
          <w:color w:val="000000" w:themeColor="text1"/>
          <w:sz w:val="22"/>
          <w:szCs w:val="22"/>
        </w:rPr>
        <w:t>54 is expected to rise by 18,600 or 5%</w:t>
      </w:r>
      <w:r w:rsidR="0011787F" w:rsidRPr="008D6AC4">
        <w:rPr>
          <w:rStyle w:val="FootnoteReference"/>
          <w:rFonts w:ascii="Verdana" w:hAnsi="Verdana"/>
          <w:color w:val="000000" w:themeColor="text1"/>
          <w:sz w:val="22"/>
          <w:szCs w:val="22"/>
        </w:rPr>
        <w:footnoteReference w:id="101"/>
      </w:r>
      <w:r w:rsidRPr="008D6AC4">
        <w:rPr>
          <w:rFonts w:ascii="Verdana" w:hAnsi="Verdana"/>
          <w:color w:val="000000" w:themeColor="text1"/>
          <w:sz w:val="22"/>
          <w:szCs w:val="22"/>
        </w:rPr>
        <w:t>. Work is therefore needed to address the fall in the number of GP practices delivering the service to ensure ease of access continues in Kent. To address the fall does not necessarily mean to contract with more GPs, it may be that KCC works with existing GPs to improve pathways and non-delivering GPs and capacity at delivering GPs.</w:t>
      </w:r>
    </w:p>
    <w:p w14:paraId="66144041" w14:textId="77777777" w:rsidR="0011787F" w:rsidRPr="008D6AC4" w:rsidRDefault="107F6518" w:rsidP="0011787F">
      <w:pPr>
        <w:jc w:val="both"/>
        <w:rPr>
          <w:rFonts w:ascii="Verdana" w:hAnsi="Verdana"/>
          <w:color w:val="000000" w:themeColor="text1"/>
          <w:sz w:val="22"/>
          <w:szCs w:val="22"/>
        </w:rPr>
      </w:pPr>
      <w:r w:rsidRPr="136F3BEB">
        <w:rPr>
          <w:rFonts w:ascii="Verdana" w:hAnsi="Verdana"/>
          <w:b/>
          <w:bCs/>
          <w:color w:val="000000" w:themeColor="text1"/>
          <w:sz w:val="22"/>
          <w:szCs w:val="22"/>
        </w:rPr>
        <w:t>Figure 1</w:t>
      </w:r>
      <w:r w:rsidR="56EF0380" w:rsidRPr="136F3BEB">
        <w:rPr>
          <w:rFonts w:ascii="Verdana" w:hAnsi="Verdana"/>
          <w:b/>
          <w:bCs/>
          <w:color w:val="000000" w:themeColor="text1"/>
          <w:sz w:val="22"/>
          <w:szCs w:val="22"/>
        </w:rPr>
        <w:t>7</w:t>
      </w:r>
      <w:r w:rsidRPr="136F3BEB">
        <w:rPr>
          <w:rFonts w:ascii="Verdana" w:hAnsi="Verdana"/>
          <w:color w:val="000000" w:themeColor="text1"/>
          <w:sz w:val="22"/>
          <w:szCs w:val="22"/>
        </w:rPr>
        <w:t xml:space="preserve"> </w:t>
      </w:r>
      <w:r w:rsidR="22065E35" w:rsidRPr="136F3BEB">
        <w:rPr>
          <w:rFonts w:ascii="Verdana" w:hAnsi="Verdana"/>
          <w:color w:val="000000" w:themeColor="text1"/>
          <w:sz w:val="22"/>
          <w:szCs w:val="22"/>
        </w:rPr>
        <w:t xml:space="preserve">demonstrates where the GP practices are located that deliver LARC in Kent. This map shows good spread of availability across the county with the area of New Romney and Lydd in the Folkestone and Hythe district, as well as The Isle Of Sheppey having a lower number of access points or further to travel to a practice. In some areas there may be a waiting list to access the service, more information is required on this including if the wait time varies between areas. It is recommended that a deeper dive into this is explored alongside insights from Kent residents to understand if this map translates to people’s experiences. </w:t>
      </w:r>
    </w:p>
    <w:p w14:paraId="33EA375A" w14:textId="77777777" w:rsidR="00886911" w:rsidRDefault="00886911">
      <w:pPr>
        <w:spacing w:before="0" w:after="200"/>
        <w:rPr>
          <w:rFonts w:ascii="Verdana" w:hAnsi="Verdana"/>
          <w:b/>
          <w:bCs/>
          <w:color w:val="000000" w:themeColor="text1"/>
          <w:sz w:val="22"/>
          <w:szCs w:val="22"/>
        </w:rPr>
      </w:pPr>
      <w:r>
        <w:rPr>
          <w:rFonts w:ascii="Verdana" w:hAnsi="Verdana"/>
          <w:b/>
          <w:bCs/>
          <w:color w:val="000000" w:themeColor="text1"/>
          <w:sz w:val="22"/>
          <w:szCs w:val="22"/>
        </w:rPr>
        <w:br w:type="page"/>
      </w:r>
    </w:p>
    <w:p w14:paraId="5E730268" w14:textId="7596C400" w:rsidR="00864DDB" w:rsidRDefault="3F3D0F0E" w:rsidP="0011787F">
      <w:pPr>
        <w:jc w:val="both"/>
        <w:rPr>
          <w:rFonts w:ascii="Verdana" w:hAnsi="Verdana"/>
          <w:b/>
          <w:bCs/>
          <w:color w:val="000000" w:themeColor="text1"/>
          <w:sz w:val="22"/>
          <w:szCs w:val="22"/>
        </w:rPr>
      </w:pPr>
      <w:r w:rsidRPr="008D6AC4">
        <w:rPr>
          <w:rFonts w:ascii="Verdana" w:hAnsi="Verdana"/>
          <w:b/>
          <w:bCs/>
          <w:color w:val="000000" w:themeColor="text1"/>
          <w:sz w:val="22"/>
          <w:szCs w:val="22"/>
        </w:rPr>
        <w:lastRenderedPageBreak/>
        <w:t>Figure 1</w:t>
      </w:r>
      <w:r w:rsidR="40DE8F24" w:rsidRPr="008D6AC4">
        <w:rPr>
          <w:rFonts w:ascii="Verdana" w:hAnsi="Verdana"/>
          <w:b/>
          <w:bCs/>
          <w:color w:val="000000" w:themeColor="text1"/>
          <w:sz w:val="22"/>
          <w:szCs w:val="22"/>
        </w:rPr>
        <w:t>7</w:t>
      </w:r>
      <w:r w:rsidRPr="008D6AC4">
        <w:rPr>
          <w:rFonts w:ascii="Verdana" w:hAnsi="Verdana"/>
          <w:b/>
          <w:bCs/>
          <w:color w:val="000000" w:themeColor="text1"/>
          <w:sz w:val="22"/>
          <w:szCs w:val="22"/>
        </w:rPr>
        <w:t>: Map of LARC Services in Kent</w:t>
      </w:r>
    </w:p>
    <w:p w14:paraId="77CF562F" w14:textId="5A5990A8" w:rsidR="00D7219F" w:rsidRDefault="00D7219F" w:rsidP="0011787F">
      <w:pPr>
        <w:jc w:val="both"/>
        <w:rPr>
          <w:rFonts w:ascii="Verdana" w:hAnsi="Verdana"/>
          <w:b/>
          <w:bCs/>
          <w:color w:val="000000" w:themeColor="text1"/>
          <w:sz w:val="22"/>
          <w:szCs w:val="22"/>
        </w:rPr>
      </w:pPr>
      <w:r w:rsidRPr="008D6AC4">
        <w:rPr>
          <w:rFonts w:ascii="Verdana" w:hAnsi="Verdana"/>
          <w:noProof/>
        </w:rPr>
        <w:drawing>
          <wp:inline distT="0" distB="0" distL="0" distR="0" wp14:anchorId="390F6183" wp14:editId="6731E47A">
            <wp:extent cx="4482465" cy="2698750"/>
            <wp:effectExtent l="0" t="0" r="0" b="6350"/>
            <wp:docPr id="1441045930" name="Picture 1441045930" descr="A map showing the Sexual Health Services in K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45930" name="Picture 1441045930" descr="A map showing the Sexual Health Services in Kent"/>
                    <pic:cNvPicPr/>
                  </pic:nvPicPr>
                  <pic:blipFill rotWithShape="1">
                    <a:blip r:embed="rId34">
                      <a:extLst>
                        <a:ext uri="{28A0092B-C50C-407E-A947-70E740481C1C}">
                          <a14:useLocalDpi xmlns:a14="http://schemas.microsoft.com/office/drawing/2010/main" val="0"/>
                        </a:ext>
                      </a:extLst>
                    </a:blip>
                    <a:srcRect b="4965"/>
                    <a:stretch/>
                  </pic:blipFill>
                  <pic:spPr bwMode="auto">
                    <a:xfrm>
                      <a:off x="0" y="0"/>
                      <a:ext cx="4482465" cy="2698750"/>
                    </a:xfrm>
                    <a:prstGeom prst="rect">
                      <a:avLst/>
                    </a:prstGeom>
                    <a:ln>
                      <a:noFill/>
                    </a:ln>
                    <a:extLst>
                      <a:ext uri="{53640926-AAD7-44D8-BBD7-CCE9431645EC}">
                        <a14:shadowObscured xmlns:a14="http://schemas.microsoft.com/office/drawing/2010/main"/>
                      </a:ext>
                    </a:extLst>
                  </pic:spPr>
                </pic:pic>
              </a:graphicData>
            </a:graphic>
          </wp:inline>
        </w:drawing>
      </w:r>
    </w:p>
    <w:p w14:paraId="390D9D55" w14:textId="77777777" w:rsidR="00D7219F" w:rsidRDefault="00D7219F" w:rsidP="0011787F">
      <w:pPr>
        <w:jc w:val="both"/>
        <w:rPr>
          <w:rFonts w:ascii="Verdana" w:hAnsi="Verdana"/>
          <w:b/>
          <w:bCs/>
          <w:color w:val="000000" w:themeColor="text1"/>
          <w:sz w:val="22"/>
          <w:szCs w:val="22"/>
        </w:rPr>
      </w:pPr>
    </w:p>
    <w:p w14:paraId="7D302AE4" w14:textId="77777777" w:rsidR="0011787F" w:rsidRPr="008D6AC4" w:rsidRDefault="0011787F" w:rsidP="0011787F">
      <w:pPr>
        <w:jc w:val="both"/>
        <w:rPr>
          <w:rFonts w:ascii="Verdana" w:hAnsi="Verdana"/>
          <w:color w:val="000000" w:themeColor="text1"/>
          <w:sz w:val="22"/>
          <w:szCs w:val="22"/>
        </w:rPr>
      </w:pPr>
      <w:r w:rsidRPr="008D6AC4">
        <w:rPr>
          <w:rFonts w:ascii="Verdana" w:hAnsi="Verdana"/>
          <w:color w:val="000000" w:themeColor="text1"/>
          <w:sz w:val="22"/>
          <w:szCs w:val="22"/>
        </w:rPr>
        <w:t xml:space="preserve">Delivery of the service requires clinicians to have a Letter of Competence (LoC) from the Faculty of Sexual and Reproductive Health (FSRH) and there have been barriers to achieving this due to lack of training and FSRH certified trainers. Between 2015 and 2018 KCC commissioned free training to primary care practitioners, costing £402,000 and achieving 202 accreditations. However, take up of this training was low, with possible reasons being issues with marketing of the free offer and reluctance of some practitioners who had been fitting LARC for many years to gain a LoC. A survey of 96 GP practices in 2022 reported barriers to delivering use of LARC as staff time (68%), training time (50%) and access to training (50%). A decrease in staff available with a LoC was noted in 43% of respondents and retirement and other staff losses was cited as the main reason for this.  </w:t>
      </w:r>
    </w:p>
    <w:p w14:paraId="3BEA683C" w14:textId="77777777" w:rsidR="0011787F" w:rsidRPr="008D6AC4" w:rsidRDefault="0011787F" w:rsidP="0011787F">
      <w:pPr>
        <w:jc w:val="both"/>
        <w:rPr>
          <w:rFonts w:ascii="Verdana" w:hAnsi="Verdana"/>
          <w:color w:val="000000" w:themeColor="text1"/>
          <w:sz w:val="22"/>
          <w:szCs w:val="22"/>
        </w:rPr>
      </w:pPr>
      <w:r w:rsidRPr="008D6AC4">
        <w:rPr>
          <w:rFonts w:ascii="Verdana" w:hAnsi="Verdana"/>
          <w:color w:val="000000" w:themeColor="text1"/>
          <w:sz w:val="22"/>
          <w:szCs w:val="22"/>
        </w:rPr>
        <w:t xml:space="preserve">People can access the service by self-referring. They can also be referred to the GP practice from several sources including neighbouring GPs within the Primary Care Network (that do not offer the service themselves), from the Integrated Sexual Health service if they lack capacity or from Women’s Health services. </w:t>
      </w:r>
    </w:p>
    <w:p w14:paraId="2AADA5EE" w14:textId="77777777" w:rsidR="0011787F" w:rsidRPr="008D6AC4" w:rsidRDefault="4CE9E93A" w:rsidP="0011787F">
      <w:pPr>
        <w:jc w:val="both"/>
        <w:rPr>
          <w:rFonts w:ascii="Verdana" w:hAnsi="Verdana"/>
          <w:color w:val="000000" w:themeColor="text1"/>
          <w:sz w:val="22"/>
          <w:szCs w:val="22"/>
        </w:rPr>
      </w:pPr>
      <w:r w:rsidRPr="008D6AC4">
        <w:rPr>
          <w:rFonts w:ascii="Verdana" w:hAnsi="Verdana"/>
          <w:color w:val="000000" w:themeColor="text1"/>
          <w:sz w:val="22"/>
          <w:szCs w:val="22"/>
        </w:rPr>
        <w:t>GPs offer a consultation prior to the fitting or removal of LARC procedure, to discuss the patient’s needs and counsel them on potential side effects. The GP will either prescribe a device for the patient to pick up via an FP10 form at a local pharmacy or source the devices directly. The procedure takes place within the GP practice and most devices are in place for 3</w:t>
      </w:r>
      <w:r w:rsidR="1B6F9289" w:rsidRPr="008D6AC4">
        <w:rPr>
          <w:rFonts w:ascii="Verdana" w:hAnsi="Verdana"/>
          <w:color w:val="000000" w:themeColor="text1"/>
          <w:sz w:val="22"/>
          <w:szCs w:val="22"/>
        </w:rPr>
        <w:t xml:space="preserve"> to </w:t>
      </w:r>
      <w:r w:rsidRPr="008D6AC4">
        <w:rPr>
          <w:rFonts w:ascii="Verdana" w:hAnsi="Verdana"/>
          <w:color w:val="000000" w:themeColor="text1"/>
          <w:sz w:val="22"/>
          <w:szCs w:val="22"/>
        </w:rPr>
        <w:t xml:space="preserve">6 years, although recently some products have been approved for use up to 8 years. They are then removed in a subsequent procedure. Women requiring use of LARC for needs other than contraception, for example treating heavy menstrual bleeding (HMB) and uterovaginal prolapse, are not included within this contract, even if they also receive secondary contraceptive benefit. The service for those needing LARC for women’s health needs is funded by the Kent and Medway ICB. </w:t>
      </w:r>
    </w:p>
    <w:p w14:paraId="62C37706" w14:textId="77777777" w:rsidR="0011787F" w:rsidRPr="008D6AC4" w:rsidRDefault="2445C4E4" w:rsidP="0011787F">
      <w:pPr>
        <w:jc w:val="both"/>
        <w:rPr>
          <w:rFonts w:ascii="Verdana" w:hAnsi="Verdana"/>
          <w:color w:val="000000" w:themeColor="text1"/>
          <w:sz w:val="22"/>
          <w:szCs w:val="22"/>
        </w:rPr>
      </w:pPr>
      <w:r w:rsidRPr="136F3BEB">
        <w:rPr>
          <w:rFonts w:ascii="Verdana" w:hAnsi="Verdana"/>
          <w:color w:val="000000" w:themeColor="text1"/>
          <w:sz w:val="22"/>
          <w:szCs w:val="22"/>
        </w:rPr>
        <w:lastRenderedPageBreak/>
        <w:t xml:space="preserve">Most users are between 16 and 45-50, which is expected with a service offering contraception </w:t>
      </w:r>
      <w:r w:rsidRPr="136F3BEB">
        <w:rPr>
          <w:rFonts w:ascii="Verdana" w:hAnsi="Verdana"/>
          <w:b/>
          <w:bCs/>
          <w:color w:val="000000" w:themeColor="text1"/>
          <w:sz w:val="22"/>
          <w:szCs w:val="22"/>
        </w:rPr>
        <w:t>(</w:t>
      </w:r>
      <w:r w:rsidR="104D9C20" w:rsidRPr="136F3BEB">
        <w:rPr>
          <w:rFonts w:ascii="Verdana" w:hAnsi="Verdana"/>
          <w:b/>
          <w:bCs/>
          <w:color w:val="000000" w:themeColor="text1"/>
          <w:sz w:val="22"/>
          <w:szCs w:val="22"/>
        </w:rPr>
        <w:t>T</w:t>
      </w:r>
      <w:r w:rsidRPr="136F3BEB">
        <w:rPr>
          <w:rFonts w:ascii="Verdana" w:hAnsi="Verdana"/>
          <w:b/>
          <w:bCs/>
          <w:color w:val="000000" w:themeColor="text1"/>
          <w:sz w:val="22"/>
          <w:szCs w:val="22"/>
        </w:rPr>
        <w:t>able 1</w:t>
      </w:r>
      <w:r w:rsidR="12AF4F98" w:rsidRPr="136F3BEB">
        <w:rPr>
          <w:rFonts w:ascii="Verdana" w:hAnsi="Verdana"/>
          <w:b/>
          <w:bCs/>
          <w:color w:val="000000" w:themeColor="text1"/>
          <w:sz w:val="22"/>
          <w:szCs w:val="22"/>
        </w:rPr>
        <w:t>0</w:t>
      </w:r>
      <w:r w:rsidRPr="136F3BEB">
        <w:rPr>
          <w:rFonts w:ascii="Verdana" w:hAnsi="Verdana"/>
          <w:b/>
          <w:bCs/>
          <w:color w:val="000000" w:themeColor="text1"/>
          <w:sz w:val="22"/>
          <w:szCs w:val="22"/>
        </w:rPr>
        <w:t>)</w:t>
      </w:r>
      <w:r w:rsidRPr="136F3BEB">
        <w:rPr>
          <w:rFonts w:ascii="Verdana" w:hAnsi="Verdana"/>
          <w:color w:val="000000" w:themeColor="text1"/>
          <w:sz w:val="22"/>
          <w:szCs w:val="22"/>
        </w:rPr>
        <w:t xml:space="preserve">. However, 7.05% of users are over the age of 50 suggesting that some are receiving LARC for purposes other than contraception, an inappropriate use of the service. In 2021, the payment form </w:t>
      </w:r>
      <w:r w:rsidR="27B2554F" w:rsidRPr="136F3BEB">
        <w:rPr>
          <w:rFonts w:ascii="Verdana" w:hAnsi="Verdana"/>
          <w:color w:val="000000" w:themeColor="text1"/>
          <w:sz w:val="22"/>
          <w:szCs w:val="22"/>
        </w:rPr>
        <w:t xml:space="preserve">used by GPs </w:t>
      </w:r>
      <w:r w:rsidRPr="136F3BEB">
        <w:rPr>
          <w:rFonts w:ascii="Verdana" w:hAnsi="Verdana"/>
          <w:color w:val="000000" w:themeColor="text1"/>
          <w:sz w:val="22"/>
          <w:szCs w:val="22"/>
        </w:rPr>
        <w:t>was amended so practices were asked to manually confirm LARC was used for contraception for everyone over the age of 50. However, there was little decline in number of users over 50 years accessing the service in 2022/23.</w:t>
      </w:r>
      <w:r w:rsidR="4818BA69" w:rsidRPr="136F3BEB">
        <w:rPr>
          <w:rFonts w:ascii="Verdana" w:hAnsi="Verdana"/>
          <w:color w:val="000000" w:themeColor="text1"/>
          <w:sz w:val="22"/>
          <w:szCs w:val="22"/>
        </w:rPr>
        <w:t xml:space="preserve"> KCC is still funding LARC for all ages, including those over 55. Investigations are ongoing with the ICB to determine the most appropriate funding mechanism for this age cohort. </w:t>
      </w:r>
    </w:p>
    <w:p w14:paraId="7FB9F9AB" w14:textId="77777777" w:rsidR="7FF55879" w:rsidRPr="008D6AC4" w:rsidRDefault="2445C4E4" w:rsidP="0E4D9769">
      <w:pPr>
        <w:rPr>
          <w:rFonts w:ascii="Verdana" w:hAnsi="Verdana"/>
          <w:sz w:val="22"/>
          <w:szCs w:val="22"/>
        </w:rPr>
      </w:pPr>
      <w:r w:rsidRPr="136F3BEB">
        <w:rPr>
          <w:rFonts w:ascii="Verdana" w:hAnsi="Verdana"/>
          <w:b/>
          <w:bCs/>
          <w:color w:val="000000" w:themeColor="text1"/>
          <w:sz w:val="22"/>
          <w:szCs w:val="22"/>
        </w:rPr>
        <w:t>Table 1</w:t>
      </w:r>
      <w:r w:rsidR="0C595491" w:rsidRPr="136F3BEB">
        <w:rPr>
          <w:rFonts w:ascii="Verdana" w:hAnsi="Verdana"/>
          <w:b/>
          <w:bCs/>
          <w:color w:val="000000" w:themeColor="text1"/>
          <w:sz w:val="22"/>
          <w:szCs w:val="22"/>
        </w:rPr>
        <w:t>0</w:t>
      </w:r>
      <w:r w:rsidRPr="136F3BEB">
        <w:rPr>
          <w:rFonts w:ascii="Verdana" w:hAnsi="Verdana"/>
          <w:b/>
          <w:bCs/>
          <w:color w:val="000000" w:themeColor="text1"/>
          <w:sz w:val="22"/>
          <w:szCs w:val="22"/>
        </w:rPr>
        <w:t>: Age breakdown by number and proportion (%) of people accessing the service from 2021/22 to 2023/24 to date.</w:t>
      </w:r>
      <w:r w:rsidRPr="136F3BEB">
        <w:rPr>
          <w:rFonts w:ascii="Verdana" w:hAnsi="Verdana"/>
          <w:color w:val="000000" w:themeColor="text1"/>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873"/>
        <w:gridCol w:w="1058"/>
        <w:gridCol w:w="1058"/>
        <w:gridCol w:w="1058"/>
        <w:gridCol w:w="1058"/>
        <w:gridCol w:w="1099"/>
        <w:gridCol w:w="1461"/>
      </w:tblGrid>
      <w:tr w:rsidR="0E4D9769" w:rsidRPr="008D6AC4" w14:paraId="57059227" w14:textId="77777777" w:rsidTr="00DC3894">
        <w:trPr>
          <w:trHeight w:val="396"/>
        </w:trPr>
        <w:tc>
          <w:tcPr>
            <w:tcW w:w="1873" w:type="dxa"/>
            <w:shd w:val="clear" w:color="auto" w:fill="DDF1F3"/>
            <w:tcMar>
              <w:top w:w="15" w:type="dxa"/>
              <w:left w:w="15" w:type="dxa"/>
              <w:right w:w="15" w:type="dxa"/>
            </w:tcMar>
            <w:vAlign w:val="center"/>
          </w:tcPr>
          <w:p w14:paraId="1CAC02D2" w14:textId="77777777" w:rsidR="0E4D9769" w:rsidRPr="008D6AC4" w:rsidRDefault="0E4D9769" w:rsidP="00DC3894">
            <w:pPr>
              <w:spacing w:before="0" w:after="0"/>
              <w:rPr>
                <w:rFonts w:ascii="Verdana" w:hAnsi="Verdana"/>
              </w:rPr>
            </w:pPr>
            <w:r w:rsidRPr="008D6AC4">
              <w:rPr>
                <w:rFonts w:ascii="Verdana" w:eastAsia="Verdana" w:hAnsi="Verdana" w:cs="Verdana"/>
                <w:b/>
                <w:bCs/>
                <w:color w:val="000000" w:themeColor="text1"/>
                <w:sz w:val="22"/>
                <w:szCs w:val="22"/>
              </w:rPr>
              <w:t>Age</w:t>
            </w:r>
          </w:p>
        </w:tc>
        <w:tc>
          <w:tcPr>
            <w:tcW w:w="1058" w:type="dxa"/>
            <w:shd w:val="clear" w:color="auto" w:fill="DDF1F3"/>
            <w:tcMar>
              <w:top w:w="15" w:type="dxa"/>
              <w:left w:w="15" w:type="dxa"/>
              <w:right w:w="15" w:type="dxa"/>
            </w:tcMar>
            <w:vAlign w:val="bottom"/>
          </w:tcPr>
          <w:p w14:paraId="0DF4E2C5" w14:textId="77777777" w:rsidR="0E4D9769" w:rsidRPr="008D6AC4" w:rsidRDefault="0E4D9769" w:rsidP="0E4D9769">
            <w:pPr>
              <w:spacing w:before="0" w:after="0"/>
              <w:jc w:val="center"/>
              <w:rPr>
                <w:rFonts w:ascii="Verdana" w:hAnsi="Verdana"/>
              </w:rPr>
            </w:pPr>
            <w:r w:rsidRPr="008D6AC4">
              <w:rPr>
                <w:rFonts w:ascii="Verdana" w:eastAsia="Verdana" w:hAnsi="Verdana" w:cs="Verdana"/>
                <w:b/>
                <w:bCs/>
                <w:color w:val="000000" w:themeColor="text1"/>
                <w:sz w:val="22"/>
                <w:szCs w:val="22"/>
              </w:rPr>
              <w:t>U15</w:t>
            </w:r>
          </w:p>
        </w:tc>
        <w:tc>
          <w:tcPr>
            <w:tcW w:w="1058" w:type="dxa"/>
            <w:shd w:val="clear" w:color="auto" w:fill="DDF1F3"/>
            <w:tcMar>
              <w:top w:w="15" w:type="dxa"/>
              <w:left w:w="15" w:type="dxa"/>
              <w:right w:w="15" w:type="dxa"/>
            </w:tcMar>
            <w:vAlign w:val="bottom"/>
          </w:tcPr>
          <w:p w14:paraId="06AC670D" w14:textId="77777777" w:rsidR="0E4D9769" w:rsidRPr="008D6AC4" w:rsidRDefault="0E4D9769" w:rsidP="0E4D9769">
            <w:pPr>
              <w:spacing w:before="0" w:after="0"/>
              <w:jc w:val="center"/>
              <w:rPr>
                <w:rFonts w:ascii="Verdana" w:hAnsi="Verdana"/>
              </w:rPr>
            </w:pPr>
            <w:r w:rsidRPr="008D6AC4">
              <w:rPr>
                <w:rFonts w:ascii="Verdana" w:eastAsia="Verdana" w:hAnsi="Verdana" w:cs="Verdana"/>
                <w:b/>
                <w:bCs/>
                <w:color w:val="000000" w:themeColor="text1"/>
                <w:sz w:val="22"/>
                <w:szCs w:val="22"/>
              </w:rPr>
              <w:t>15</w:t>
            </w:r>
          </w:p>
        </w:tc>
        <w:tc>
          <w:tcPr>
            <w:tcW w:w="1058" w:type="dxa"/>
            <w:shd w:val="clear" w:color="auto" w:fill="DDF1F3"/>
            <w:tcMar>
              <w:top w:w="15" w:type="dxa"/>
              <w:left w:w="15" w:type="dxa"/>
              <w:right w:w="15" w:type="dxa"/>
            </w:tcMar>
            <w:vAlign w:val="bottom"/>
          </w:tcPr>
          <w:p w14:paraId="1EFA1C24" w14:textId="77777777" w:rsidR="0E4D9769" w:rsidRPr="008D6AC4" w:rsidRDefault="0E4D9769" w:rsidP="0E4D9769">
            <w:pPr>
              <w:spacing w:before="0" w:after="0"/>
              <w:jc w:val="center"/>
              <w:rPr>
                <w:rFonts w:ascii="Verdana" w:hAnsi="Verdana"/>
              </w:rPr>
            </w:pPr>
            <w:r w:rsidRPr="008D6AC4">
              <w:rPr>
                <w:rFonts w:ascii="Verdana" w:eastAsia="Verdana" w:hAnsi="Verdana" w:cs="Verdana"/>
                <w:b/>
                <w:bCs/>
                <w:color w:val="000000" w:themeColor="text1"/>
                <w:sz w:val="22"/>
                <w:szCs w:val="22"/>
              </w:rPr>
              <w:t>16-20</w:t>
            </w:r>
          </w:p>
        </w:tc>
        <w:tc>
          <w:tcPr>
            <w:tcW w:w="1058" w:type="dxa"/>
            <w:shd w:val="clear" w:color="auto" w:fill="DDF1F3"/>
            <w:tcMar>
              <w:top w:w="15" w:type="dxa"/>
              <w:left w:w="15" w:type="dxa"/>
              <w:right w:w="15" w:type="dxa"/>
            </w:tcMar>
            <w:vAlign w:val="bottom"/>
          </w:tcPr>
          <w:p w14:paraId="7C165050" w14:textId="77777777" w:rsidR="0E4D9769" w:rsidRPr="008D6AC4" w:rsidRDefault="0E4D9769" w:rsidP="0E4D9769">
            <w:pPr>
              <w:spacing w:before="0" w:after="0"/>
              <w:jc w:val="center"/>
              <w:rPr>
                <w:rFonts w:ascii="Verdana" w:hAnsi="Verdana"/>
              </w:rPr>
            </w:pPr>
            <w:r w:rsidRPr="008D6AC4">
              <w:rPr>
                <w:rFonts w:ascii="Verdana" w:eastAsia="Verdana" w:hAnsi="Verdana" w:cs="Verdana"/>
                <w:b/>
                <w:bCs/>
                <w:color w:val="000000" w:themeColor="text1"/>
                <w:sz w:val="22"/>
                <w:szCs w:val="22"/>
              </w:rPr>
              <w:t>21-24</w:t>
            </w:r>
          </w:p>
        </w:tc>
        <w:tc>
          <w:tcPr>
            <w:tcW w:w="1099" w:type="dxa"/>
            <w:shd w:val="clear" w:color="auto" w:fill="DDF1F3"/>
            <w:tcMar>
              <w:top w:w="15" w:type="dxa"/>
              <w:left w:w="15" w:type="dxa"/>
              <w:right w:w="15" w:type="dxa"/>
            </w:tcMar>
            <w:vAlign w:val="bottom"/>
          </w:tcPr>
          <w:p w14:paraId="7F1418F3" w14:textId="77777777" w:rsidR="0E4D9769" w:rsidRPr="008D6AC4" w:rsidRDefault="0E4D9769" w:rsidP="0E4D9769">
            <w:pPr>
              <w:spacing w:before="0" w:after="0"/>
              <w:jc w:val="center"/>
              <w:rPr>
                <w:rFonts w:ascii="Verdana" w:hAnsi="Verdana"/>
              </w:rPr>
            </w:pPr>
            <w:r w:rsidRPr="008D6AC4">
              <w:rPr>
                <w:rFonts w:ascii="Verdana" w:eastAsia="Verdana" w:hAnsi="Verdana" w:cs="Verdana"/>
                <w:b/>
                <w:bCs/>
                <w:color w:val="000000" w:themeColor="text1"/>
                <w:sz w:val="22"/>
                <w:szCs w:val="22"/>
              </w:rPr>
              <w:t>25-30</w:t>
            </w:r>
          </w:p>
        </w:tc>
        <w:tc>
          <w:tcPr>
            <w:tcW w:w="1461" w:type="dxa"/>
            <w:shd w:val="clear" w:color="auto" w:fill="DDF1F3"/>
            <w:tcMar>
              <w:top w:w="15" w:type="dxa"/>
              <w:left w:w="15" w:type="dxa"/>
              <w:right w:w="15" w:type="dxa"/>
            </w:tcMar>
            <w:vAlign w:val="bottom"/>
          </w:tcPr>
          <w:p w14:paraId="410E2746" w14:textId="77777777" w:rsidR="0E4D9769" w:rsidRPr="008D6AC4" w:rsidRDefault="0E4D9769" w:rsidP="0E4D9769">
            <w:pPr>
              <w:spacing w:before="0" w:after="0"/>
              <w:jc w:val="center"/>
              <w:rPr>
                <w:rFonts w:ascii="Verdana" w:hAnsi="Verdana"/>
              </w:rPr>
            </w:pPr>
            <w:r w:rsidRPr="008D6AC4">
              <w:rPr>
                <w:rFonts w:ascii="Verdana" w:eastAsia="Verdana" w:hAnsi="Verdana" w:cs="Verdana"/>
                <w:b/>
                <w:bCs/>
                <w:color w:val="000000" w:themeColor="text1"/>
                <w:sz w:val="22"/>
                <w:szCs w:val="22"/>
              </w:rPr>
              <w:t>31-34</w:t>
            </w:r>
          </w:p>
        </w:tc>
      </w:tr>
      <w:tr w:rsidR="0E4D9769" w:rsidRPr="008D6AC4" w14:paraId="205A16D5" w14:textId="77777777" w:rsidTr="00DC3894">
        <w:trPr>
          <w:trHeight w:val="396"/>
        </w:trPr>
        <w:tc>
          <w:tcPr>
            <w:tcW w:w="1873" w:type="dxa"/>
            <w:shd w:val="clear" w:color="auto" w:fill="FFFFFF" w:themeFill="background1"/>
            <w:tcMar>
              <w:top w:w="15" w:type="dxa"/>
              <w:left w:w="15" w:type="dxa"/>
              <w:right w:w="15" w:type="dxa"/>
            </w:tcMar>
            <w:vAlign w:val="center"/>
          </w:tcPr>
          <w:p w14:paraId="0BC4C753" w14:textId="77777777" w:rsidR="0E4D9769" w:rsidRPr="008D6AC4" w:rsidRDefault="0E4D9769" w:rsidP="00DC3894">
            <w:pPr>
              <w:spacing w:before="0" w:after="0"/>
              <w:rPr>
                <w:rFonts w:ascii="Verdana" w:hAnsi="Verdana"/>
              </w:rPr>
            </w:pPr>
            <w:r w:rsidRPr="008D6AC4">
              <w:rPr>
                <w:rFonts w:ascii="Verdana" w:eastAsia="Verdana" w:hAnsi="Verdana" w:cs="Verdana"/>
                <w:color w:val="000000" w:themeColor="text1"/>
                <w:sz w:val="22"/>
                <w:szCs w:val="22"/>
              </w:rPr>
              <w:t>2021/22</w:t>
            </w:r>
          </w:p>
        </w:tc>
        <w:tc>
          <w:tcPr>
            <w:tcW w:w="1058" w:type="dxa"/>
            <w:shd w:val="clear" w:color="auto" w:fill="FFFFFF" w:themeFill="background1"/>
            <w:tcMar>
              <w:top w:w="15" w:type="dxa"/>
              <w:left w:w="15" w:type="dxa"/>
              <w:right w:w="15" w:type="dxa"/>
            </w:tcMar>
            <w:vAlign w:val="center"/>
          </w:tcPr>
          <w:p w14:paraId="171F76DF" w14:textId="77777777" w:rsidR="0E4D9769" w:rsidRPr="008D6AC4" w:rsidRDefault="0E4D9769" w:rsidP="0E4D9769">
            <w:pPr>
              <w:spacing w:before="0" w:after="0"/>
              <w:jc w:val="center"/>
              <w:rPr>
                <w:rFonts w:ascii="Verdana" w:hAnsi="Verdana"/>
              </w:rPr>
            </w:pPr>
            <w:r w:rsidRPr="008D6AC4">
              <w:rPr>
                <w:rFonts w:ascii="Verdana" w:eastAsia="Verdana" w:hAnsi="Verdana" w:cs="Verdana"/>
                <w:color w:val="000000" w:themeColor="text1"/>
                <w:sz w:val="22"/>
                <w:szCs w:val="22"/>
              </w:rPr>
              <w:t>16</w:t>
            </w:r>
          </w:p>
        </w:tc>
        <w:tc>
          <w:tcPr>
            <w:tcW w:w="1058" w:type="dxa"/>
            <w:shd w:val="clear" w:color="auto" w:fill="FFFFFF" w:themeFill="background1"/>
            <w:tcMar>
              <w:top w:w="15" w:type="dxa"/>
              <w:left w:w="15" w:type="dxa"/>
              <w:right w:w="15" w:type="dxa"/>
            </w:tcMar>
            <w:vAlign w:val="center"/>
          </w:tcPr>
          <w:p w14:paraId="2D2019F0" w14:textId="77777777" w:rsidR="0E4D9769" w:rsidRPr="008D6AC4" w:rsidRDefault="0E4D9769" w:rsidP="0E4D9769">
            <w:pPr>
              <w:spacing w:before="0" w:after="0"/>
              <w:jc w:val="center"/>
              <w:rPr>
                <w:rFonts w:ascii="Verdana" w:hAnsi="Verdana"/>
              </w:rPr>
            </w:pPr>
            <w:r w:rsidRPr="008D6AC4">
              <w:rPr>
                <w:rFonts w:ascii="Verdana" w:eastAsia="Verdana" w:hAnsi="Verdana" w:cs="Verdana"/>
                <w:color w:val="000000" w:themeColor="text1"/>
                <w:sz w:val="22"/>
                <w:szCs w:val="22"/>
              </w:rPr>
              <w:t>52</w:t>
            </w:r>
          </w:p>
        </w:tc>
        <w:tc>
          <w:tcPr>
            <w:tcW w:w="1058" w:type="dxa"/>
            <w:shd w:val="clear" w:color="auto" w:fill="FFFFFF" w:themeFill="background1"/>
            <w:tcMar>
              <w:top w:w="15" w:type="dxa"/>
              <w:left w:w="15" w:type="dxa"/>
              <w:right w:w="15" w:type="dxa"/>
            </w:tcMar>
            <w:vAlign w:val="center"/>
          </w:tcPr>
          <w:p w14:paraId="438FC642" w14:textId="77777777" w:rsidR="0E4D9769" w:rsidRPr="008D6AC4" w:rsidRDefault="0E4D9769" w:rsidP="0E4D9769">
            <w:pPr>
              <w:spacing w:before="0" w:after="0"/>
              <w:jc w:val="center"/>
              <w:rPr>
                <w:rFonts w:ascii="Verdana" w:hAnsi="Verdana"/>
              </w:rPr>
            </w:pPr>
            <w:r w:rsidRPr="008D6AC4">
              <w:rPr>
                <w:rFonts w:ascii="Verdana" w:eastAsia="Verdana" w:hAnsi="Verdana" w:cs="Verdana"/>
                <w:color w:val="000000" w:themeColor="text1"/>
                <w:sz w:val="22"/>
                <w:szCs w:val="22"/>
              </w:rPr>
              <w:t>1169</w:t>
            </w:r>
          </w:p>
        </w:tc>
        <w:tc>
          <w:tcPr>
            <w:tcW w:w="1058" w:type="dxa"/>
            <w:shd w:val="clear" w:color="auto" w:fill="FFFFFF" w:themeFill="background1"/>
            <w:tcMar>
              <w:top w:w="15" w:type="dxa"/>
              <w:left w:w="15" w:type="dxa"/>
              <w:right w:w="15" w:type="dxa"/>
            </w:tcMar>
            <w:vAlign w:val="center"/>
          </w:tcPr>
          <w:p w14:paraId="7DB5A30C" w14:textId="77777777" w:rsidR="0E4D9769" w:rsidRPr="008D6AC4" w:rsidRDefault="0E4D9769" w:rsidP="0E4D9769">
            <w:pPr>
              <w:spacing w:before="0" w:after="0"/>
              <w:jc w:val="center"/>
              <w:rPr>
                <w:rFonts w:ascii="Verdana" w:hAnsi="Verdana"/>
              </w:rPr>
            </w:pPr>
            <w:r w:rsidRPr="008D6AC4">
              <w:rPr>
                <w:rFonts w:ascii="Verdana" w:eastAsia="Verdana" w:hAnsi="Verdana" w:cs="Verdana"/>
                <w:color w:val="000000" w:themeColor="text1"/>
                <w:sz w:val="22"/>
                <w:szCs w:val="22"/>
              </w:rPr>
              <w:t>1434</w:t>
            </w:r>
          </w:p>
        </w:tc>
        <w:tc>
          <w:tcPr>
            <w:tcW w:w="1099" w:type="dxa"/>
            <w:shd w:val="clear" w:color="auto" w:fill="FFFFFF" w:themeFill="background1"/>
            <w:tcMar>
              <w:top w:w="15" w:type="dxa"/>
              <w:left w:w="15" w:type="dxa"/>
              <w:right w:w="15" w:type="dxa"/>
            </w:tcMar>
            <w:vAlign w:val="center"/>
          </w:tcPr>
          <w:p w14:paraId="3C3CF1BB" w14:textId="77777777" w:rsidR="0E4D9769" w:rsidRPr="008D6AC4" w:rsidRDefault="0E4D9769" w:rsidP="0E4D9769">
            <w:pPr>
              <w:spacing w:before="0" w:after="0"/>
              <w:jc w:val="center"/>
              <w:rPr>
                <w:rFonts w:ascii="Verdana" w:hAnsi="Verdana"/>
              </w:rPr>
            </w:pPr>
            <w:r w:rsidRPr="008D6AC4">
              <w:rPr>
                <w:rFonts w:ascii="Verdana" w:eastAsia="Verdana" w:hAnsi="Verdana" w:cs="Verdana"/>
                <w:color w:val="000000" w:themeColor="text1"/>
                <w:sz w:val="22"/>
                <w:szCs w:val="22"/>
              </w:rPr>
              <w:t>2470</w:t>
            </w:r>
          </w:p>
        </w:tc>
        <w:tc>
          <w:tcPr>
            <w:tcW w:w="1461" w:type="dxa"/>
            <w:shd w:val="clear" w:color="auto" w:fill="FFFFFF" w:themeFill="background1"/>
            <w:tcMar>
              <w:top w:w="15" w:type="dxa"/>
              <w:left w:w="15" w:type="dxa"/>
              <w:right w:w="15" w:type="dxa"/>
            </w:tcMar>
            <w:vAlign w:val="center"/>
          </w:tcPr>
          <w:p w14:paraId="09125BD8" w14:textId="77777777" w:rsidR="0E4D9769" w:rsidRPr="008D6AC4" w:rsidRDefault="0E4D9769" w:rsidP="0E4D9769">
            <w:pPr>
              <w:spacing w:before="0" w:after="0"/>
              <w:jc w:val="center"/>
              <w:rPr>
                <w:rFonts w:ascii="Verdana" w:hAnsi="Verdana"/>
              </w:rPr>
            </w:pPr>
            <w:r w:rsidRPr="008D6AC4">
              <w:rPr>
                <w:rFonts w:ascii="Verdana" w:eastAsia="Verdana" w:hAnsi="Verdana" w:cs="Verdana"/>
                <w:color w:val="000000" w:themeColor="text1"/>
                <w:sz w:val="22"/>
                <w:szCs w:val="22"/>
              </w:rPr>
              <w:t>1840</w:t>
            </w:r>
          </w:p>
        </w:tc>
      </w:tr>
      <w:tr w:rsidR="0E4D9769" w:rsidRPr="008D6AC4" w14:paraId="424B5548" w14:textId="77777777" w:rsidTr="00DC3894">
        <w:trPr>
          <w:trHeight w:val="396"/>
        </w:trPr>
        <w:tc>
          <w:tcPr>
            <w:tcW w:w="1873" w:type="dxa"/>
            <w:shd w:val="clear" w:color="auto" w:fill="FFFFFF" w:themeFill="background1"/>
            <w:tcMar>
              <w:top w:w="15" w:type="dxa"/>
              <w:left w:w="15" w:type="dxa"/>
              <w:right w:w="15" w:type="dxa"/>
            </w:tcMar>
            <w:vAlign w:val="center"/>
          </w:tcPr>
          <w:p w14:paraId="3B2AA70C" w14:textId="77777777" w:rsidR="0E4D9769" w:rsidRPr="008D6AC4" w:rsidRDefault="0E4D9769" w:rsidP="00DC3894">
            <w:pPr>
              <w:spacing w:before="0" w:after="0"/>
              <w:rPr>
                <w:rFonts w:ascii="Verdana" w:hAnsi="Verdana"/>
              </w:rPr>
            </w:pPr>
            <w:r w:rsidRPr="008D6AC4">
              <w:rPr>
                <w:rFonts w:ascii="Verdana" w:eastAsia="Verdana" w:hAnsi="Verdana" w:cs="Verdana"/>
                <w:color w:val="000000" w:themeColor="text1"/>
                <w:sz w:val="22"/>
                <w:szCs w:val="22"/>
              </w:rPr>
              <w:t>2022/23</w:t>
            </w:r>
          </w:p>
        </w:tc>
        <w:tc>
          <w:tcPr>
            <w:tcW w:w="1058" w:type="dxa"/>
            <w:shd w:val="clear" w:color="auto" w:fill="FFFFFF" w:themeFill="background1"/>
            <w:tcMar>
              <w:top w:w="15" w:type="dxa"/>
              <w:left w:w="15" w:type="dxa"/>
              <w:right w:w="15" w:type="dxa"/>
            </w:tcMar>
            <w:vAlign w:val="center"/>
          </w:tcPr>
          <w:p w14:paraId="6E573DA4" w14:textId="77777777" w:rsidR="0E4D9769" w:rsidRPr="008D6AC4" w:rsidRDefault="0E4D9769" w:rsidP="0E4D9769">
            <w:pPr>
              <w:spacing w:before="0" w:after="0"/>
              <w:jc w:val="center"/>
              <w:rPr>
                <w:rFonts w:ascii="Verdana" w:hAnsi="Verdana"/>
              </w:rPr>
            </w:pPr>
            <w:r w:rsidRPr="008D6AC4">
              <w:rPr>
                <w:rFonts w:ascii="Verdana" w:eastAsia="Verdana" w:hAnsi="Verdana" w:cs="Verdana"/>
                <w:color w:val="000000" w:themeColor="text1"/>
                <w:sz w:val="22"/>
                <w:szCs w:val="22"/>
              </w:rPr>
              <w:t>20</w:t>
            </w:r>
          </w:p>
        </w:tc>
        <w:tc>
          <w:tcPr>
            <w:tcW w:w="1058" w:type="dxa"/>
            <w:shd w:val="clear" w:color="auto" w:fill="FFFFFF" w:themeFill="background1"/>
            <w:tcMar>
              <w:top w:w="15" w:type="dxa"/>
              <w:left w:w="15" w:type="dxa"/>
              <w:right w:w="15" w:type="dxa"/>
            </w:tcMar>
            <w:vAlign w:val="center"/>
          </w:tcPr>
          <w:p w14:paraId="23E4A4F5" w14:textId="77777777" w:rsidR="0E4D9769" w:rsidRPr="008D6AC4" w:rsidRDefault="0E4D9769" w:rsidP="0E4D9769">
            <w:pPr>
              <w:spacing w:before="0" w:after="0"/>
              <w:jc w:val="center"/>
              <w:rPr>
                <w:rFonts w:ascii="Verdana" w:hAnsi="Verdana"/>
              </w:rPr>
            </w:pPr>
            <w:r w:rsidRPr="008D6AC4">
              <w:rPr>
                <w:rFonts w:ascii="Verdana" w:eastAsia="Verdana" w:hAnsi="Verdana" w:cs="Verdana"/>
                <w:color w:val="000000" w:themeColor="text1"/>
                <w:sz w:val="22"/>
                <w:szCs w:val="22"/>
              </w:rPr>
              <w:t>51</w:t>
            </w:r>
          </w:p>
        </w:tc>
        <w:tc>
          <w:tcPr>
            <w:tcW w:w="1058" w:type="dxa"/>
            <w:shd w:val="clear" w:color="auto" w:fill="FFFFFF" w:themeFill="background1"/>
            <w:tcMar>
              <w:top w:w="15" w:type="dxa"/>
              <w:left w:w="15" w:type="dxa"/>
              <w:right w:w="15" w:type="dxa"/>
            </w:tcMar>
            <w:vAlign w:val="center"/>
          </w:tcPr>
          <w:p w14:paraId="1598FF88" w14:textId="77777777" w:rsidR="0E4D9769" w:rsidRPr="008D6AC4" w:rsidRDefault="0E4D9769" w:rsidP="0E4D9769">
            <w:pPr>
              <w:spacing w:before="0" w:after="0"/>
              <w:jc w:val="center"/>
              <w:rPr>
                <w:rFonts w:ascii="Verdana" w:hAnsi="Verdana"/>
              </w:rPr>
            </w:pPr>
            <w:r w:rsidRPr="008D6AC4">
              <w:rPr>
                <w:rFonts w:ascii="Verdana" w:eastAsia="Verdana" w:hAnsi="Verdana" w:cs="Verdana"/>
                <w:color w:val="000000" w:themeColor="text1"/>
                <w:sz w:val="22"/>
                <w:szCs w:val="22"/>
              </w:rPr>
              <w:t>966</w:t>
            </w:r>
          </w:p>
        </w:tc>
        <w:tc>
          <w:tcPr>
            <w:tcW w:w="1058" w:type="dxa"/>
            <w:shd w:val="clear" w:color="auto" w:fill="FFFFFF" w:themeFill="background1"/>
            <w:tcMar>
              <w:top w:w="15" w:type="dxa"/>
              <w:left w:w="15" w:type="dxa"/>
              <w:right w:w="15" w:type="dxa"/>
            </w:tcMar>
            <w:vAlign w:val="center"/>
          </w:tcPr>
          <w:p w14:paraId="298FC48C" w14:textId="77777777" w:rsidR="0E4D9769" w:rsidRPr="008D6AC4" w:rsidRDefault="0E4D9769" w:rsidP="0E4D9769">
            <w:pPr>
              <w:spacing w:before="0" w:after="0"/>
              <w:jc w:val="center"/>
              <w:rPr>
                <w:rFonts w:ascii="Verdana" w:hAnsi="Verdana"/>
              </w:rPr>
            </w:pPr>
            <w:r w:rsidRPr="008D6AC4">
              <w:rPr>
                <w:rFonts w:ascii="Verdana" w:eastAsia="Verdana" w:hAnsi="Verdana" w:cs="Verdana"/>
                <w:color w:val="000000" w:themeColor="text1"/>
                <w:sz w:val="22"/>
                <w:szCs w:val="22"/>
              </w:rPr>
              <w:t>1247</w:t>
            </w:r>
          </w:p>
        </w:tc>
        <w:tc>
          <w:tcPr>
            <w:tcW w:w="1099" w:type="dxa"/>
            <w:shd w:val="clear" w:color="auto" w:fill="FFFFFF" w:themeFill="background1"/>
            <w:tcMar>
              <w:top w:w="15" w:type="dxa"/>
              <w:left w:w="15" w:type="dxa"/>
              <w:right w:w="15" w:type="dxa"/>
            </w:tcMar>
            <w:vAlign w:val="center"/>
          </w:tcPr>
          <w:p w14:paraId="0B73F4EC" w14:textId="77777777" w:rsidR="0E4D9769" w:rsidRPr="008D6AC4" w:rsidRDefault="0E4D9769" w:rsidP="0E4D9769">
            <w:pPr>
              <w:spacing w:before="0" w:after="0"/>
              <w:jc w:val="center"/>
              <w:rPr>
                <w:rFonts w:ascii="Verdana" w:hAnsi="Verdana"/>
              </w:rPr>
            </w:pPr>
            <w:r w:rsidRPr="008D6AC4">
              <w:rPr>
                <w:rFonts w:ascii="Verdana" w:eastAsia="Verdana" w:hAnsi="Verdana" w:cs="Verdana"/>
                <w:color w:val="000000" w:themeColor="text1"/>
                <w:sz w:val="22"/>
                <w:szCs w:val="22"/>
              </w:rPr>
              <w:t>2259</w:t>
            </w:r>
          </w:p>
        </w:tc>
        <w:tc>
          <w:tcPr>
            <w:tcW w:w="1461" w:type="dxa"/>
            <w:shd w:val="clear" w:color="auto" w:fill="FFFFFF" w:themeFill="background1"/>
            <w:tcMar>
              <w:top w:w="15" w:type="dxa"/>
              <w:left w:w="15" w:type="dxa"/>
              <w:right w:w="15" w:type="dxa"/>
            </w:tcMar>
            <w:vAlign w:val="center"/>
          </w:tcPr>
          <w:p w14:paraId="7A87AED7" w14:textId="77777777" w:rsidR="0E4D9769" w:rsidRPr="008D6AC4" w:rsidRDefault="0E4D9769" w:rsidP="0E4D9769">
            <w:pPr>
              <w:spacing w:before="0" w:after="0"/>
              <w:jc w:val="center"/>
              <w:rPr>
                <w:rFonts w:ascii="Verdana" w:hAnsi="Verdana"/>
              </w:rPr>
            </w:pPr>
            <w:r w:rsidRPr="008D6AC4">
              <w:rPr>
                <w:rFonts w:ascii="Verdana" w:eastAsia="Verdana" w:hAnsi="Verdana" w:cs="Verdana"/>
                <w:color w:val="000000" w:themeColor="text1"/>
                <w:sz w:val="22"/>
                <w:szCs w:val="22"/>
              </w:rPr>
              <w:t>1856</w:t>
            </w:r>
          </w:p>
        </w:tc>
      </w:tr>
      <w:tr w:rsidR="0E4D9769" w:rsidRPr="008D6AC4" w14:paraId="30E0A88F" w14:textId="77777777" w:rsidTr="00DC3894">
        <w:trPr>
          <w:trHeight w:val="396"/>
        </w:trPr>
        <w:tc>
          <w:tcPr>
            <w:tcW w:w="1873" w:type="dxa"/>
            <w:shd w:val="clear" w:color="auto" w:fill="FFFFFF" w:themeFill="background1"/>
            <w:tcMar>
              <w:top w:w="15" w:type="dxa"/>
              <w:left w:w="15" w:type="dxa"/>
              <w:right w:w="15" w:type="dxa"/>
            </w:tcMar>
            <w:vAlign w:val="center"/>
          </w:tcPr>
          <w:p w14:paraId="5F1389A4" w14:textId="77777777" w:rsidR="0E4D9769" w:rsidRPr="008D6AC4" w:rsidRDefault="0E4D9769" w:rsidP="00DC3894">
            <w:pPr>
              <w:spacing w:before="0" w:after="0"/>
              <w:rPr>
                <w:rFonts w:ascii="Verdana" w:hAnsi="Verdana"/>
              </w:rPr>
            </w:pPr>
            <w:r w:rsidRPr="008D6AC4">
              <w:rPr>
                <w:rFonts w:ascii="Verdana" w:eastAsia="Verdana" w:hAnsi="Verdana" w:cs="Verdana"/>
                <w:color w:val="000000" w:themeColor="text1"/>
                <w:sz w:val="22"/>
                <w:szCs w:val="22"/>
              </w:rPr>
              <w:t>2023/34</w:t>
            </w:r>
          </w:p>
        </w:tc>
        <w:tc>
          <w:tcPr>
            <w:tcW w:w="1058" w:type="dxa"/>
            <w:shd w:val="clear" w:color="auto" w:fill="FFFFFF" w:themeFill="background1"/>
            <w:tcMar>
              <w:top w:w="15" w:type="dxa"/>
              <w:left w:w="15" w:type="dxa"/>
              <w:right w:w="15" w:type="dxa"/>
            </w:tcMar>
            <w:vAlign w:val="center"/>
          </w:tcPr>
          <w:p w14:paraId="0B94344B" w14:textId="77777777" w:rsidR="0E4D9769" w:rsidRPr="008D6AC4" w:rsidRDefault="0E4D9769" w:rsidP="0E4D9769">
            <w:pPr>
              <w:spacing w:before="0" w:after="0"/>
              <w:jc w:val="center"/>
              <w:rPr>
                <w:rFonts w:ascii="Verdana" w:hAnsi="Verdana"/>
              </w:rPr>
            </w:pPr>
            <w:r w:rsidRPr="008D6AC4">
              <w:rPr>
                <w:rFonts w:ascii="Verdana" w:eastAsia="Verdana" w:hAnsi="Verdana" w:cs="Verdana"/>
                <w:color w:val="000000" w:themeColor="text1"/>
                <w:sz w:val="22"/>
                <w:szCs w:val="22"/>
              </w:rPr>
              <w:t>6</w:t>
            </w:r>
          </w:p>
        </w:tc>
        <w:tc>
          <w:tcPr>
            <w:tcW w:w="1058" w:type="dxa"/>
            <w:shd w:val="clear" w:color="auto" w:fill="FFFFFF" w:themeFill="background1"/>
            <w:tcMar>
              <w:top w:w="15" w:type="dxa"/>
              <w:left w:w="15" w:type="dxa"/>
              <w:right w:w="15" w:type="dxa"/>
            </w:tcMar>
            <w:vAlign w:val="center"/>
          </w:tcPr>
          <w:p w14:paraId="4FA6E14F" w14:textId="77777777" w:rsidR="0E4D9769" w:rsidRPr="008D6AC4" w:rsidRDefault="0E4D9769" w:rsidP="0E4D9769">
            <w:pPr>
              <w:spacing w:before="0" w:after="0"/>
              <w:jc w:val="center"/>
              <w:rPr>
                <w:rFonts w:ascii="Verdana" w:hAnsi="Verdana"/>
              </w:rPr>
            </w:pPr>
            <w:r w:rsidRPr="008D6AC4">
              <w:rPr>
                <w:rFonts w:ascii="Verdana" w:eastAsia="Verdana" w:hAnsi="Verdana" w:cs="Verdana"/>
                <w:color w:val="000000" w:themeColor="text1"/>
                <w:sz w:val="22"/>
                <w:szCs w:val="22"/>
              </w:rPr>
              <w:t>16</w:t>
            </w:r>
          </w:p>
        </w:tc>
        <w:tc>
          <w:tcPr>
            <w:tcW w:w="1058" w:type="dxa"/>
            <w:shd w:val="clear" w:color="auto" w:fill="FFFFFF" w:themeFill="background1"/>
            <w:tcMar>
              <w:top w:w="15" w:type="dxa"/>
              <w:left w:w="15" w:type="dxa"/>
              <w:right w:w="15" w:type="dxa"/>
            </w:tcMar>
            <w:vAlign w:val="center"/>
          </w:tcPr>
          <w:p w14:paraId="501E7927" w14:textId="77777777" w:rsidR="0E4D9769" w:rsidRPr="008D6AC4" w:rsidRDefault="0E4D9769" w:rsidP="0E4D9769">
            <w:pPr>
              <w:spacing w:before="0" w:after="0"/>
              <w:jc w:val="center"/>
              <w:rPr>
                <w:rFonts w:ascii="Verdana" w:hAnsi="Verdana"/>
              </w:rPr>
            </w:pPr>
            <w:r w:rsidRPr="008D6AC4">
              <w:rPr>
                <w:rFonts w:ascii="Verdana" w:eastAsia="Verdana" w:hAnsi="Verdana" w:cs="Verdana"/>
                <w:color w:val="000000" w:themeColor="text1"/>
                <w:sz w:val="22"/>
                <w:szCs w:val="22"/>
              </w:rPr>
              <w:t>267</w:t>
            </w:r>
          </w:p>
        </w:tc>
        <w:tc>
          <w:tcPr>
            <w:tcW w:w="1058" w:type="dxa"/>
            <w:shd w:val="clear" w:color="auto" w:fill="FFFFFF" w:themeFill="background1"/>
            <w:tcMar>
              <w:top w:w="15" w:type="dxa"/>
              <w:left w:w="15" w:type="dxa"/>
              <w:right w:w="15" w:type="dxa"/>
            </w:tcMar>
            <w:vAlign w:val="center"/>
          </w:tcPr>
          <w:p w14:paraId="3C1AA4C2" w14:textId="77777777" w:rsidR="0E4D9769" w:rsidRPr="008D6AC4" w:rsidRDefault="0E4D9769" w:rsidP="0E4D9769">
            <w:pPr>
              <w:spacing w:before="0" w:after="0"/>
              <w:jc w:val="center"/>
              <w:rPr>
                <w:rFonts w:ascii="Verdana" w:hAnsi="Verdana"/>
              </w:rPr>
            </w:pPr>
            <w:r w:rsidRPr="008D6AC4">
              <w:rPr>
                <w:rFonts w:ascii="Verdana" w:eastAsia="Verdana" w:hAnsi="Verdana" w:cs="Verdana"/>
                <w:color w:val="000000" w:themeColor="text1"/>
                <w:sz w:val="22"/>
                <w:szCs w:val="22"/>
              </w:rPr>
              <w:t>326</w:t>
            </w:r>
          </w:p>
        </w:tc>
        <w:tc>
          <w:tcPr>
            <w:tcW w:w="1099" w:type="dxa"/>
            <w:shd w:val="clear" w:color="auto" w:fill="FFFFFF" w:themeFill="background1"/>
            <w:tcMar>
              <w:top w:w="15" w:type="dxa"/>
              <w:left w:w="15" w:type="dxa"/>
              <w:right w:w="15" w:type="dxa"/>
            </w:tcMar>
            <w:vAlign w:val="center"/>
          </w:tcPr>
          <w:p w14:paraId="652F8D47" w14:textId="77777777" w:rsidR="0E4D9769" w:rsidRPr="008D6AC4" w:rsidRDefault="0E4D9769" w:rsidP="0E4D9769">
            <w:pPr>
              <w:spacing w:before="0" w:after="0"/>
              <w:jc w:val="center"/>
              <w:rPr>
                <w:rFonts w:ascii="Verdana" w:hAnsi="Verdana"/>
              </w:rPr>
            </w:pPr>
            <w:r w:rsidRPr="008D6AC4">
              <w:rPr>
                <w:rFonts w:ascii="Verdana" w:eastAsia="Verdana" w:hAnsi="Verdana" w:cs="Verdana"/>
                <w:color w:val="000000" w:themeColor="text1"/>
                <w:sz w:val="22"/>
                <w:szCs w:val="22"/>
              </w:rPr>
              <w:t>626</w:t>
            </w:r>
          </w:p>
        </w:tc>
        <w:tc>
          <w:tcPr>
            <w:tcW w:w="1461" w:type="dxa"/>
            <w:shd w:val="clear" w:color="auto" w:fill="FFFFFF" w:themeFill="background1"/>
            <w:tcMar>
              <w:top w:w="15" w:type="dxa"/>
              <w:left w:w="15" w:type="dxa"/>
              <w:right w:w="15" w:type="dxa"/>
            </w:tcMar>
            <w:vAlign w:val="center"/>
          </w:tcPr>
          <w:p w14:paraId="6C4BBEB9" w14:textId="77777777" w:rsidR="0E4D9769" w:rsidRPr="008D6AC4" w:rsidRDefault="0E4D9769" w:rsidP="0E4D9769">
            <w:pPr>
              <w:spacing w:before="0" w:after="0"/>
              <w:jc w:val="center"/>
              <w:rPr>
                <w:rFonts w:ascii="Verdana" w:hAnsi="Verdana"/>
              </w:rPr>
            </w:pPr>
            <w:r w:rsidRPr="008D6AC4">
              <w:rPr>
                <w:rFonts w:ascii="Verdana" w:eastAsia="Verdana" w:hAnsi="Verdana" w:cs="Verdana"/>
                <w:color w:val="000000" w:themeColor="text1"/>
                <w:sz w:val="22"/>
                <w:szCs w:val="22"/>
              </w:rPr>
              <w:t>431</w:t>
            </w:r>
          </w:p>
        </w:tc>
      </w:tr>
      <w:tr w:rsidR="0E4D9769" w:rsidRPr="008D6AC4" w14:paraId="1ED64EF8" w14:textId="77777777" w:rsidTr="00A52D86">
        <w:trPr>
          <w:trHeight w:val="404"/>
        </w:trPr>
        <w:tc>
          <w:tcPr>
            <w:tcW w:w="1873" w:type="dxa"/>
            <w:shd w:val="clear" w:color="auto" w:fill="FFFFFF" w:themeFill="background1"/>
            <w:tcMar>
              <w:top w:w="15" w:type="dxa"/>
              <w:left w:w="15" w:type="dxa"/>
              <w:right w:w="15" w:type="dxa"/>
            </w:tcMar>
            <w:vAlign w:val="center"/>
          </w:tcPr>
          <w:p w14:paraId="35AF3869" w14:textId="77777777" w:rsidR="0E4D9769" w:rsidRPr="008D6AC4" w:rsidRDefault="0E4D9769" w:rsidP="00DC3894">
            <w:pPr>
              <w:spacing w:before="0" w:after="0"/>
              <w:rPr>
                <w:rFonts w:ascii="Verdana" w:hAnsi="Verdana"/>
              </w:rPr>
            </w:pPr>
            <w:r w:rsidRPr="008D6AC4">
              <w:rPr>
                <w:rFonts w:ascii="Verdana" w:eastAsia="Verdana" w:hAnsi="Verdana" w:cs="Verdana"/>
                <w:color w:val="000000" w:themeColor="text1"/>
                <w:sz w:val="22"/>
                <w:szCs w:val="22"/>
              </w:rPr>
              <w:t>Total 2021/22- 2023/24</w:t>
            </w:r>
          </w:p>
        </w:tc>
        <w:tc>
          <w:tcPr>
            <w:tcW w:w="1058" w:type="dxa"/>
            <w:shd w:val="clear" w:color="auto" w:fill="FFFFFF" w:themeFill="background1"/>
            <w:tcMar>
              <w:top w:w="15" w:type="dxa"/>
              <w:left w:w="15" w:type="dxa"/>
              <w:right w:w="15" w:type="dxa"/>
            </w:tcMar>
            <w:vAlign w:val="center"/>
          </w:tcPr>
          <w:p w14:paraId="1E13F268" w14:textId="77777777" w:rsidR="0E4D9769" w:rsidRPr="008D6AC4" w:rsidRDefault="0E4D9769" w:rsidP="0E4D9769">
            <w:pPr>
              <w:spacing w:before="0" w:after="0"/>
              <w:jc w:val="center"/>
              <w:rPr>
                <w:rFonts w:ascii="Verdana" w:hAnsi="Verdana"/>
              </w:rPr>
            </w:pPr>
            <w:r w:rsidRPr="008D6AC4">
              <w:rPr>
                <w:rFonts w:ascii="Verdana" w:eastAsia="Verdana" w:hAnsi="Verdana" w:cs="Verdana"/>
                <w:color w:val="000000" w:themeColor="text1"/>
                <w:sz w:val="22"/>
                <w:szCs w:val="22"/>
              </w:rPr>
              <w:t>42</w:t>
            </w:r>
          </w:p>
        </w:tc>
        <w:tc>
          <w:tcPr>
            <w:tcW w:w="1058" w:type="dxa"/>
            <w:shd w:val="clear" w:color="auto" w:fill="FFFFFF" w:themeFill="background1"/>
            <w:tcMar>
              <w:top w:w="15" w:type="dxa"/>
              <w:left w:w="15" w:type="dxa"/>
              <w:right w:w="15" w:type="dxa"/>
            </w:tcMar>
            <w:vAlign w:val="center"/>
          </w:tcPr>
          <w:p w14:paraId="7E474696" w14:textId="77777777" w:rsidR="0E4D9769" w:rsidRPr="008D6AC4" w:rsidRDefault="0E4D9769" w:rsidP="0E4D9769">
            <w:pPr>
              <w:spacing w:before="0" w:after="0"/>
              <w:jc w:val="center"/>
              <w:rPr>
                <w:rFonts w:ascii="Verdana" w:hAnsi="Verdana"/>
              </w:rPr>
            </w:pPr>
            <w:r w:rsidRPr="008D6AC4">
              <w:rPr>
                <w:rFonts w:ascii="Verdana" w:eastAsia="Verdana" w:hAnsi="Verdana" w:cs="Verdana"/>
                <w:color w:val="000000" w:themeColor="text1"/>
                <w:sz w:val="22"/>
                <w:szCs w:val="22"/>
              </w:rPr>
              <w:t>119</w:t>
            </w:r>
          </w:p>
        </w:tc>
        <w:tc>
          <w:tcPr>
            <w:tcW w:w="1058" w:type="dxa"/>
            <w:shd w:val="clear" w:color="auto" w:fill="FFFFFF" w:themeFill="background1"/>
            <w:tcMar>
              <w:top w:w="15" w:type="dxa"/>
              <w:left w:w="15" w:type="dxa"/>
              <w:right w:w="15" w:type="dxa"/>
            </w:tcMar>
            <w:vAlign w:val="center"/>
          </w:tcPr>
          <w:p w14:paraId="0F6BDB49" w14:textId="77777777" w:rsidR="0E4D9769" w:rsidRPr="008D6AC4" w:rsidRDefault="0E4D9769" w:rsidP="0E4D9769">
            <w:pPr>
              <w:spacing w:before="0" w:after="0"/>
              <w:jc w:val="center"/>
              <w:rPr>
                <w:rFonts w:ascii="Verdana" w:hAnsi="Verdana"/>
              </w:rPr>
            </w:pPr>
            <w:r w:rsidRPr="008D6AC4">
              <w:rPr>
                <w:rFonts w:ascii="Verdana" w:eastAsia="Verdana" w:hAnsi="Verdana" w:cs="Verdana"/>
                <w:color w:val="000000" w:themeColor="text1"/>
                <w:sz w:val="22"/>
                <w:szCs w:val="22"/>
              </w:rPr>
              <w:t>2402</w:t>
            </w:r>
          </w:p>
        </w:tc>
        <w:tc>
          <w:tcPr>
            <w:tcW w:w="1058" w:type="dxa"/>
            <w:shd w:val="clear" w:color="auto" w:fill="FFFFFF" w:themeFill="background1"/>
            <w:tcMar>
              <w:top w:w="15" w:type="dxa"/>
              <w:left w:w="15" w:type="dxa"/>
              <w:right w:w="15" w:type="dxa"/>
            </w:tcMar>
            <w:vAlign w:val="center"/>
          </w:tcPr>
          <w:p w14:paraId="37C83D7C" w14:textId="77777777" w:rsidR="0E4D9769" w:rsidRPr="008D6AC4" w:rsidRDefault="0E4D9769" w:rsidP="0E4D9769">
            <w:pPr>
              <w:spacing w:before="0" w:after="0"/>
              <w:jc w:val="center"/>
              <w:rPr>
                <w:rFonts w:ascii="Verdana" w:hAnsi="Verdana"/>
              </w:rPr>
            </w:pPr>
            <w:r w:rsidRPr="008D6AC4">
              <w:rPr>
                <w:rFonts w:ascii="Verdana" w:eastAsia="Verdana" w:hAnsi="Verdana" w:cs="Verdana"/>
                <w:color w:val="000000" w:themeColor="text1"/>
                <w:sz w:val="22"/>
                <w:szCs w:val="22"/>
              </w:rPr>
              <w:t>3007</w:t>
            </w:r>
          </w:p>
        </w:tc>
        <w:tc>
          <w:tcPr>
            <w:tcW w:w="1099" w:type="dxa"/>
            <w:shd w:val="clear" w:color="auto" w:fill="FFFFFF" w:themeFill="background1"/>
            <w:tcMar>
              <w:top w:w="15" w:type="dxa"/>
              <w:left w:w="15" w:type="dxa"/>
              <w:right w:w="15" w:type="dxa"/>
            </w:tcMar>
            <w:vAlign w:val="center"/>
          </w:tcPr>
          <w:p w14:paraId="17EBA035" w14:textId="77777777" w:rsidR="0E4D9769" w:rsidRPr="008D6AC4" w:rsidRDefault="0E4D9769" w:rsidP="0E4D9769">
            <w:pPr>
              <w:spacing w:before="0" w:after="0"/>
              <w:jc w:val="center"/>
              <w:rPr>
                <w:rFonts w:ascii="Verdana" w:hAnsi="Verdana"/>
              </w:rPr>
            </w:pPr>
            <w:r w:rsidRPr="008D6AC4">
              <w:rPr>
                <w:rFonts w:ascii="Verdana" w:eastAsia="Verdana" w:hAnsi="Verdana" w:cs="Verdana"/>
                <w:color w:val="000000" w:themeColor="text1"/>
                <w:sz w:val="22"/>
                <w:szCs w:val="22"/>
              </w:rPr>
              <w:t>5355</w:t>
            </w:r>
          </w:p>
        </w:tc>
        <w:tc>
          <w:tcPr>
            <w:tcW w:w="1461" w:type="dxa"/>
            <w:shd w:val="clear" w:color="auto" w:fill="FFFFFF" w:themeFill="background1"/>
            <w:tcMar>
              <w:top w:w="15" w:type="dxa"/>
              <w:left w:w="15" w:type="dxa"/>
              <w:right w:w="15" w:type="dxa"/>
            </w:tcMar>
            <w:vAlign w:val="center"/>
          </w:tcPr>
          <w:p w14:paraId="456DC2C8" w14:textId="77777777" w:rsidR="0E4D9769" w:rsidRPr="008D6AC4" w:rsidRDefault="0E4D9769" w:rsidP="0E4D9769">
            <w:pPr>
              <w:spacing w:before="0" w:after="0"/>
              <w:jc w:val="center"/>
              <w:rPr>
                <w:rFonts w:ascii="Verdana" w:hAnsi="Verdana"/>
              </w:rPr>
            </w:pPr>
            <w:r w:rsidRPr="008D6AC4">
              <w:rPr>
                <w:rFonts w:ascii="Verdana" w:eastAsia="Verdana" w:hAnsi="Verdana" w:cs="Verdana"/>
                <w:color w:val="000000" w:themeColor="text1"/>
                <w:sz w:val="22"/>
                <w:szCs w:val="22"/>
              </w:rPr>
              <w:t>4127</w:t>
            </w:r>
          </w:p>
        </w:tc>
      </w:tr>
      <w:tr w:rsidR="0E4D9769" w:rsidRPr="008D6AC4" w14:paraId="407CA7A0" w14:textId="77777777" w:rsidTr="00A52D86">
        <w:trPr>
          <w:trHeight w:val="470"/>
        </w:trPr>
        <w:tc>
          <w:tcPr>
            <w:tcW w:w="1873" w:type="dxa"/>
            <w:shd w:val="clear" w:color="auto" w:fill="FFFFFF" w:themeFill="background1"/>
            <w:tcMar>
              <w:top w:w="15" w:type="dxa"/>
              <w:left w:w="15" w:type="dxa"/>
              <w:right w:w="15" w:type="dxa"/>
            </w:tcMar>
            <w:vAlign w:val="center"/>
          </w:tcPr>
          <w:p w14:paraId="1EA0518B" w14:textId="77777777" w:rsidR="0E4D9769" w:rsidRPr="008D6AC4" w:rsidRDefault="0E4D9769" w:rsidP="00DC3894">
            <w:pPr>
              <w:spacing w:before="0" w:after="0"/>
              <w:rPr>
                <w:rFonts w:ascii="Verdana" w:hAnsi="Verdana"/>
              </w:rPr>
            </w:pPr>
            <w:r w:rsidRPr="008D6AC4">
              <w:rPr>
                <w:rFonts w:ascii="Verdana" w:eastAsia="Verdana" w:hAnsi="Verdana" w:cs="Verdana"/>
                <w:color w:val="000000" w:themeColor="text1"/>
                <w:sz w:val="22"/>
                <w:szCs w:val="22"/>
              </w:rPr>
              <w:t>% of total procedures</w:t>
            </w:r>
          </w:p>
        </w:tc>
        <w:tc>
          <w:tcPr>
            <w:tcW w:w="1058" w:type="dxa"/>
            <w:shd w:val="clear" w:color="auto" w:fill="FFFFFF" w:themeFill="background1"/>
            <w:tcMar>
              <w:top w:w="15" w:type="dxa"/>
              <w:left w:w="15" w:type="dxa"/>
              <w:right w:w="15" w:type="dxa"/>
            </w:tcMar>
            <w:vAlign w:val="center"/>
          </w:tcPr>
          <w:p w14:paraId="076505FC" w14:textId="77777777" w:rsidR="0E4D9769" w:rsidRPr="008D6AC4" w:rsidRDefault="0E4D9769" w:rsidP="0E4D9769">
            <w:pPr>
              <w:spacing w:before="0" w:after="0"/>
              <w:jc w:val="center"/>
              <w:rPr>
                <w:rFonts w:ascii="Verdana" w:hAnsi="Verdana"/>
              </w:rPr>
            </w:pPr>
            <w:r w:rsidRPr="008D6AC4">
              <w:rPr>
                <w:rFonts w:ascii="Verdana" w:eastAsia="Verdana" w:hAnsi="Verdana" w:cs="Verdana"/>
                <w:color w:val="000000" w:themeColor="text1"/>
                <w:sz w:val="22"/>
                <w:szCs w:val="22"/>
              </w:rPr>
              <w:t>0.14%</w:t>
            </w:r>
          </w:p>
        </w:tc>
        <w:tc>
          <w:tcPr>
            <w:tcW w:w="1058" w:type="dxa"/>
            <w:shd w:val="clear" w:color="auto" w:fill="FFFFFF" w:themeFill="background1"/>
            <w:tcMar>
              <w:top w:w="15" w:type="dxa"/>
              <w:left w:w="15" w:type="dxa"/>
              <w:right w:w="15" w:type="dxa"/>
            </w:tcMar>
            <w:vAlign w:val="center"/>
          </w:tcPr>
          <w:p w14:paraId="49A348C6" w14:textId="77777777" w:rsidR="0E4D9769" w:rsidRPr="008D6AC4" w:rsidRDefault="0E4D9769" w:rsidP="0E4D9769">
            <w:pPr>
              <w:spacing w:before="0" w:after="0"/>
              <w:jc w:val="center"/>
              <w:rPr>
                <w:rFonts w:ascii="Verdana" w:hAnsi="Verdana"/>
              </w:rPr>
            </w:pPr>
            <w:r w:rsidRPr="008D6AC4">
              <w:rPr>
                <w:rFonts w:ascii="Verdana" w:eastAsia="Verdana" w:hAnsi="Verdana" w:cs="Verdana"/>
                <w:color w:val="000000" w:themeColor="text1"/>
                <w:sz w:val="22"/>
                <w:szCs w:val="22"/>
              </w:rPr>
              <w:t>0.39%</w:t>
            </w:r>
          </w:p>
        </w:tc>
        <w:tc>
          <w:tcPr>
            <w:tcW w:w="1058" w:type="dxa"/>
            <w:shd w:val="clear" w:color="auto" w:fill="FFFFFF" w:themeFill="background1"/>
            <w:tcMar>
              <w:top w:w="15" w:type="dxa"/>
              <w:left w:w="15" w:type="dxa"/>
              <w:right w:w="15" w:type="dxa"/>
            </w:tcMar>
            <w:vAlign w:val="center"/>
          </w:tcPr>
          <w:p w14:paraId="182B9E90" w14:textId="77777777" w:rsidR="0E4D9769" w:rsidRPr="008D6AC4" w:rsidRDefault="0E4D9769" w:rsidP="0E4D9769">
            <w:pPr>
              <w:spacing w:before="0" w:after="0"/>
              <w:jc w:val="center"/>
              <w:rPr>
                <w:rFonts w:ascii="Verdana" w:hAnsi="Verdana"/>
              </w:rPr>
            </w:pPr>
            <w:r w:rsidRPr="008D6AC4">
              <w:rPr>
                <w:rFonts w:ascii="Verdana" w:eastAsia="Verdana" w:hAnsi="Verdana" w:cs="Verdana"/>
                <w:color w:val="000000" w:themeColor="text1"/>
                <w:sz w:val="22"/>
                <w:szCs w:val="22"/>
              </w:rPr>
              <w:t>7.80%</w:t>
            </w:r>
          </w:p>
        </w:tc>
        <w:tc>
          <w:tcPr>
            <w:tcW w:w="1058" w:type="dxa"/>
            <w:shd w:val="clear" w:color="auto" w:fill="FFFFFF" w:themeFill="background1"/>
            <w:tcMar>
              <w:top w:w="15" w:type="dxa"/>
              <w:left w:w="15" w:type="dxa"/>
              <w:right w:w="15" w:type="dxa"/>
            </w:tcMar>
            <w:vAlign w:val="center"/>
          </w:tcPr>
          <w:p w14:paraId="5C6EAA7D" w14:textId="77777777" w:rsidR="0E4D9769" w:rsidRPr="008D6AC4" w:rsidRDefault="0E4D9769" w:rsidP="0E4D9769">
            <w:pPr>
              <w:spacing w:before="0" w:after="0"/>
              <w:jc w:val="center"/>
              <w:rPr>
                <w:rFonts w:ascii="Verdana" w:hAnsi="Verdana"/>
              </w:rPr>
            </w:pPr>
            <w:r w:rsidRPr="008D6AC4">
              <w:rPr>
                <w:rFonts w:ascii="Verdana" w:eastAsia="Verdana" w:hAnsi="Verdana" w:cs="Verdana"/>
                <w:color w:val="000000" w:themeColor="text1"/>
                <w:sz w:val="22"/>
                <w:szCs w:val="22"/>
              </w:rPr>
              <w:t>9.76%</w:t>
            </w:r>
          </w:p>
        </w:tc>
        <w:tc>
          <w:tcPr>
            <w:tcW w:w="1099" w:type="dxa"/>
            <w:shd w:val="clear" w:color="auto" w:fill="FFFFFF" w:themeFill="background1"/>
            <w:tcMar>
              <w:top w:w="15" w:type="dxa"/>
              <w:left w:w="15" w:type="dxa"/>
              <w:right w:w="15" w:type="dxa"/>
            </w:tcMar>
            <w:vAlign w:val="center"/>
          </w:tcPr>
          <w:p w14:paraId="1C8F75BF" w14:textId="77777777" w:rsidR="0E4D9769" w:rsidRPr="008D6AC4" w:rsidRDefault="0E4D9769" w:rsidP="0E4D9769">
            <w:pPr>
              <w:spacing w:before="0" w:after="0"/>
              <w:jc w:val="center"/>
              <w:rPr>
                <w:rFonts w:ascii="Verdana" w:hAnsi="Verdana"/>
              </w:rPr>
            </w:pPr>
            <w:r w:rsidRPr="008D6AC4">
              <w:rPr>
                <w:rFonts w:ascii="Verdana" w:eastAsia="Verdana" w:hAnsi="Verdana" w:cs="Verdana"/>
                <w:color w:val="000000" w:themeColor="text1"/>
                <w:sz w:val="22"/>
                <w:szCs w:val="22"/>
              </w:rPr>
              <w:t>17.83</w:t>
            </w:r>
          </w:p>
        </w:tc>
        <w:tc>
          <w:tcPr>
            <w:tcW w:w="1461" w:type="dxa"/>
            <w:shd w:val="clear" w:color="auto" w:fill="FFFFFF" w:themeFill="background1"/>
            <w:tcMar>
              <w:top w:w="15" w:type="dxa"/>
              <w:left w:w="15" w:type="dxa"/>
              <w:right w:w="15" w:type="dxa"/>
            </w:tcMar>
            <w:vAlign w:val="center"/>
          </w:tcPr>
          <w:p w14:paraId="46A4EF49" w14:textId="77777777" w:rsidR="0E4D9769" w:rsidRPr="008D6AC4" w:rsidRDefault="0E4D9769" w:rsidP="0E4D9769">
            <w:pPr>
              <w:spacing w:before="0" w:after="0"/>
              <w:jc w:val="center"/>
              <w:rPr>
                <w:rFonts w:ascii="Verdana" w:hAnsi="Verdana"/>
              </w:rPr>
            </w:pPr>
            <w:r w:rsidRPr="008D6AC4">
              <w:rPr>
                <w:rFonts w:ascii="Verdana" w:eastAsia="Verdana" w:hAnsi="Verdana" w:cs="Verdana"/>
                <w:color w:val="000000" w:themeColor="text1"/>
                <w:sz w:val="22"/>
                <w:szCs w:val="22"/>
              </w:rPr>
              <w:t>13.40%</w:t>
            </w:r>
          </w:p>
        </w:tc>
      </w:tr>
    </w:tbl>
    <w:p w14:paraId="09377261" w14:textId="77777777" w:rsidR="7FF55879" w:rsidRPr="008D6AC4" w:rsidRDefault="7FF55879" w:rsidP="0E4D9769">
      <w:pPr>
        <w:rPr>
          <w:rFonts w:ascii="Verdana" w:hAnsi="Verdana"/>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951"/>
        <w:gridCol w:w="1190"/>
        <w:gridCol w:w="1269"/>
        <w:gridCol w:w="1006"/>
        <w:gridCol w:w="1067"/>
        <w:gridCol w:w="1087"/>
        <w:gridCol w:w="1092"/>
      </w:tblGrid>
      <w:tr w:rsidR="0E4D9769" w:rsidRPr="008D6AC4" w14:paraId="204687EF" w14:textId="77777777" w:rsidTr="00A52D86">
        <w:trPr>
          <w:trHeight w:val="325"/>
        </w:trPr>
        <w:tc>
          <w:tcPr>
            <w:tcW w:w="1951" w:type="dxa"/>
            <w:shd w:val="clear" w:color="auto" w:fill="DDF1F3"/>
            <w:tcMar>
              <w:top w:w="15" w:type="dxa"/>
              <w:left w:w="15" w:type="dxa"/>
              <w:right w:w="15" w:type="dxa"/>
            </w:tcMar>
            <w:vAlign w:val="center"/>
          </w:tcPr>
          <w:p w14:paraId="2F2BB121" w14:textId="77777777" w:rsidR="0E4D9769" w:rsidRPr="008D6AC4" w:rsidRDefault="0E4D9769" w:rsidP="00642AA5">
            <w:pPr>
              <w:spacing w:before="0" w:after="0"/>
              <w:rPr>
                <w:rFonts w:ascii="Verdana" w:hAnsi="Verdana"/>
              </w:rPr>
            </w:pPr>
            <w:r w:rsidRPr="008D6AC4">
              <w:rPr>
                <w:rFonts w:ascii="Verdana" w:eastAsia="Verdana" w:hAnsi="Verdana" w:cs="Verdana"/>
                <w:b/>
                <w:bCs/>
                <w:color w:val="000000" w:themeColor="text1"/>
                <w:sz w:val="22"/>
                <w:szCs w:val="22"/>
              </w:rPr>
              <w:t>Age</w:t>
            </w:r>
          </w:p>
        </w:tc>
        <w:tc>
          <w:tcPr>
            <w:tcW w:w="1190" w:type="dxa"/>
            <w:shd w:val="clear" w:color="auto" w:fill="DDF1F3"/>
            <w:tcMar>
              <w:top w:w="15" w:type="dxa"/>
              <w:left w:w="15" w:type="dxa"/>
              <w:right w:w="15" w:type="dxa"/>
            </w:tcMar>
            <w:vAlign w:val="bottom"/>
          </w:tcPr>
          <w:p w14:paraId="3A371A2D" w14:textId="77777777" w:rsidR="0E4D9769" w:rsidRPr="008D6AC4" w:rsidRDefault="0E4D9769" w:rsidP="0E4D9769">
            <w:pPr>
              <w:spacing w:before="0" w:after="0"/>
              <w:jc w:val="center"/>
              <w:rPr>
                <w:rFonts w:ascii="Verdana" w:hAnsi="Verdana"/>
              </w:rPr>
            </w:pPr>
            <w:r w:rsidRPr="008D6AC4">
              <w:rPr>
                <w:rFonts w:ascii="Verdana" w:eastAsia="Verdana" w:hAnsi="Verdana" w:cs="Verdana"/>
                <w:b/>
                <w:bCs/>
                <w:color w:val="000000" w:themeColor="text1"/>
                <w:sz w:val="22"/>
                <w:szCs w:val="22"/>
              </w:rPr>
              <w:t>35-40</w:t>
            </w:r>
          </w:p>
        </w:tc>
        <w:tc>
          <w:tcPr>
            <w:tcW w:w="1269" w:type="dxa"/>
            <w:shd w:val="clear" w:color="auto" w:fill="DDF1F3"/>
            <w:tcMar>
              <w:top w:w="15" w:type="dxa"/>
              <w:left w:w="15" w:type="dxa"/>
              <w:right w:w="15" w:type="dxa"/>
            </w:tcMar>
            <w:vAlign w:val="bottom"/>
          </w:tcPr>
          <w:p w14:paraId="6EF40C5B" w14:textId="77777777" w:rsidR="0E4D9769" w:rsidRPr="008D6AC4" w:rsidRDefault="0E4D9769" w:rsidP="0E4D9769">
            <w:pPr>
              <w:spacing w:before="0" w:after="0"/>
              <w:jc w:val="center"/>
              <w:rPr>
                <w:rFonts w:ascii="Verdana" w:hAnsi="Verdana"/>
              </w:rPr>
            </w:pPr>
            <w:r w:rsidRPr="008D6AC4">
              <w:rPr>
                <w:rFonts w:ascii="Verdana" w:eastAsia="Verdana" w:hAnsi="Verdana" w:cs="Verdana"/>
                <w:b/>
                <w:bCs/>
                <w:color w:val="000000" w:themeColor="text1"/>
                <w:sz w:val="22"/>
                <w:szCs w:val="22"/>
              </w:rPr>
              <w:t>41-44</w:t>
            </w:r>
          </w:p>
        </w:tc>
        <w:tc>
          <w:tcPr>
            <w:tcW w:w="1006" w:type="dxa"/>
            <w:shd w:val="clear" w:color="auto" w:fill="DDF1F3"/>
            <w:tcMar>
              <w:top w:w="15" w:type="dxa"/>
              <w:left w:w="15" w:type="dxa"/>
              <w:right w:w="15" w:type="dxa"/>
            </w:tcMar>
            <w:vAlign w:val="bottom"/>
          </w:tcPr>
          <w:p w14:paraId="238B015C" w14:textId="77777777" w:rsidR="0E4D9769" w:rsidRPr="008D6AC4" w:rsidRDefault="0E4D9769" w:rsidP="0E4D9769">
            <w:pPr>
              <w:spacing w:before="0" w:after="0"/>
              <w:jc w:val="center"/>
              <w:rPr>
                <w:rFonts w:ascii="Verdana" w:hAnsi="Verdana"/>
              </w:rPr>
            </w:pPr>
            <w:r w:rsidRPr="008D6AC4">
              <w:rPr>
                <w:rFonts w:ascii="Verdana" w:eastAsia="Verdana" w:hAnsi="Verdana" w:cs="Verdana"/>
                <w:b/>
                <w:bCs/>
                <w:color w:val="000000" w:themeColor="text1"/>
                <w:sz w:val="22"/>
                <w:szCs w:val="22"/>
              </w:rPr>
              <w:t>45-50</w:t>
            </w:r>
          </w:p>
        </w:tc>
        <w:tc>
          <w:tcPr>
            <w:tcW w:w="1067" w:type="dxa"/>
            <w:shd w:val="clear" w:color="auto" w:fill="DDF1F3"/>
            <w:tcMar>
              <w:top w:w="15" w:type="dxa"/>
              <w:left w:w="15" w:type="dxa"/>
              <w:right w:w="15" w:type="dxa"/>
            </w:tcMar>
            <w:vAlign w:val="bottom"/>
          </w:tcPr>
          <w:p w14:paraId="26BFFB78" w14:textId="77777777" w:rsidR="0E4D9769" w:rsidRPr="008D6AC4" w:rsidRDefault="0E4D9769" w:rsidP="0E4D9769">
            <w:pPr>
              <w:spacing w:before="0" w:after="0"/>
              <w:jc w:val="center"/>
              <w:rPr>
                <w:rFonts w:ascii="Verdana" w:hAnsi="Verdana"/>
              </w:rPr>
            </w:pPr>
            <w:r w:rsidRPr="008D6AC4">
              <w:rPr>
                <w:rFonts w:ascii="Verdana" w:eastAsia="Verdana" w:hAnsi="Verdana" w:cs="Verdana"/>
                <w:b/>
                <w:bCs/>
                <w:color w:val="000000" w:themeColor="text1"/>
                <w:sz w:val="22"/>
                <w:szCs w:val="22"/>
              </w:rPr>
              <w:t>51-54</w:t>
            </w:r>
          </w:p>
        </w:tc>
        <w:tc>
          <w:tcPr>
            <w:tcW w:w="1087" w:type="dxa"/>
            <w:shd w:val="clear" w:color="auto" w:fill="DDF1F3"/>
            <w:tcMar>
              <w:top w:w="15" w:type="dxa"/>
              <w:left w:w="15" w:type="dxa"/>
              <w:right w:w="15" w:type="dxa"/>
            </w:tcMar>
            <w:vAlign w:val="bottom"/>
          </w:tcPr>
          <w:p w14:paraId="2E1EE44A" w14:textId="77777777" w:rsidR="0E4D9769" w:rsidRPr="008D6AC4" w:rsidRDefault="0E4D9769" w:rsidP="0E4D9769">
            <w:pPr>
              <w:spacing w:before="0" w:after="0"/>
              <w:jc w:val="center"/>
              <w:rPr>
                <w:rFonts w:ascii="Verdana" w:hAnsi="Verdana"/>
              </w:rPr>
            </w:pPr>
            <w:r w:rsidRPr="008D6AC4">
              <w:rPr>
                <w:rFonts w:ascii="Verdana" w:eastAsia="Verdana" w:hAnsi="Verdana" w:cs="Verdana"/>
                <w:b/>
                <w:bCs/>
                <w:color w:val="000000" w:themeColor="text1"/>
                <w:sz w:val="22"/>
                <w:szCs w:val="22"/>
              </w:rPr>
              <w:t>55-60</w:t>
            </w:r>
          </w:p>
        </w:tc>
        <w:tc>
          <w:tcPr>
            <w:tcW w:w="1092" w:type="dxa"/>
            <w:shd w:val="clear" w:color="auto" w:fill="DDF1F3"/>
            <w:tcMar>
              <w:top w:w="15" w:type="dxa"/>
              <w:left w:w="15" w:type="dxa"/>
              <w:right w:w="15" w:type="dxa"/>
            </w:tcMar>
            <w:vAlign w:val="bottom"/>
          </w:tcPr>
          <w:p w14:paraId="7228BF79" w14:textId="77777777" w:rsidR="0E4D9769" w:rsidRPr="008D6AC4" w:rsidRDefault="0E4D9769" w:rsidP="0E4D9769">
            <w:pPr>
              <w:spacing w:before="0" w:after="0"/>
              <w:jc w:val="center"/>
              <w:rPr>
                <w:rFonts w:ascii="Verdana" w:hAnsi="Verdana"/>
              </w:rPr>
            </w:pPr>
            <w:r w:rsidRPr="008D6AC4">
              <w:rPr>
                <w:rFonts w:ascii="Verdana" w:eastAsia="Verdana" w:hAnsi="Verdana" w:cs="Verdana"/>
                <w:b/>
                <w:bCs/>
                <w:color w:val="000000" w:themeColor="text1"/>
                <w:sz w:val="22"/>
                <w:szCs w:val="22"/>
              </w:rPr>
              <w:t>Total</w:t>
            </w:r>
          </w:p>
        </w:tc>
      </w:tr>
      <w:tr w:rsidR="0E4D9769" w:rsidRPr="008D6AC4" w14:paraId="026D51BC" w14:textId="77777777" w:rsidTr="00A52D86">
        <w:trPr>
          <w:trHeight w:val="484"/>
        </w:trPr>
        <w:tc>
          <w:tcPr>
            <w:tcW w:w="1951" w:type="dxa"/>
            <w:shd w:val="clear" w:color="auto" w:fill="FFFFFF" w:themeFill="background1"/>
            <w:tcMar>
              <w:top w:w="15" w:type="dxa"/>
              <w:left w:w="15" w:type="dxa"/>
              <w:right w:w="15" w:type="dxa"/>
            </w:tcMar>
            <w:vAlign w:val="center"/>
          </w:tcPr>
          <w:p w14:paraId="4CD9A2C8" w14:textId="77777777" w:rsidR="0E4D9769" w:rsidRPr="008D6AC4" w:rsidRDefault="0E4D9769" w:rsidP="00DC3894">
            <w:pPr>
              <w:spacing w:before="0" w:after="0"/>
              <w:rPr>
                <w:rFonts w:ascii="Verdana" w:hAnsi="Verdana"/>
              </w:rPr>
            </w:pPr>
            <w:r w:rsidRPr="008D6AC4">
              <w:rPr>
                <w:rFonts w:ascii="Verdana" w:eastAsia="Verdana" w:hAnsi="Verdana" w:cs="Verdana"/>
                <w:color w:val="000000" w:themeColor="text1"/>
                <w:sz w:val="22"/>
                <w:szCs w:val="22"/>
              </w:rPr>
              <w:t>2021/22 Cont.</w:t>
            </w:r>
          </w:p>
        </w:tc>
        <w:tc>
          <w:tcPr>
            <w:tcW w:w="1190" w:type="dxa"/>
            <w:shd w:val="clear" w:color="auto" w:fill="FFFFFF" w:themeFill="background1"/>
            <w:tcMar>
              <w:top w:w="15" w:type="dxa"/>
              <w:left w:w="15" w:type="dxa"/>
              <w:right w:w="15" w:type="dxa"/>
            </w:tcMar>
            <w:vAlign w:val="center"/>
          </w:tcPr>
          <w:p w14:paraId="5446AD05" w14:textId="77777777" w:rsidR="0E4D9769" w:rsidRPr="008D6AC4" w:rsidRDefault="0E4D9769" w:rsidP="00DC3894">
            <w:pPr>
              <w:spacing w:before="0" w:after="0"/>
              <w:jc w:val="center"/>
              <w:rPr>
                <w:rFonts w:ascii="Verdana" w:hAnsi="Verdana"/>
              </w:rPr>
            </w:pPr>
            <w:r w:rsidRPr="008D6AC4">
              <w:rPr>
                <w:rFonts w:ascii="Verdana" w:eastAsia="Verdana" w:hAnsi="Verdana" w:cs="Verdana"/>
                <w:color w:val="000000" w:themeColor="text1"/>
                <w:sz w:val="22"/>
                <w:szCs w:val="22"/>
              </w:rPr>
              <w:t>2726</w:t>
            </w:r>
          </w:p>
        </w:tc>
        <w:tc>
          <w:tcPr>
            <w:tcW w:w="1269" w:type="dxa"/>
            <w:shd w:val="clear" w:color="auto" w:fill="FFFFFF" w:themeFill="background1"/>
            <w:tcMar>
              <w:top w:w="15" w:type="dxa"/>
              <w:left w:w="15" w:type="dxa"/>
              <w:right w:w="15" w:type="dxa"/>
            </w:tcMar>
            <w:vAlign w:val="center"/>
          </w:tcPr>
          <w:p w14:paraId="366874E7" w14:textId="77777777" w:rsidR="0E4D9769" w:rsidRPr="008D6AC4" w:rsidRDefault="0E4D9769" w:rsidP="00DC3894">
            <w:pPr>
              <w:spacing w:before="0" w:after="0"/>
              <w:jc w:val="center"/>
              <w:rPr>
                <w:rFonts w:ascii="Verdana" w:hAnsi="Verdana"/>
              </w:rPr>
            </w:pPr>
            <w:r w:rsidRPr="008D6AC4">
              <w:rPr>
                <w:rFonts w:ascii="Verdana" w:eastAsia="Verdana" w:hAnsi="Verdana" w:cs="Verdana"/>
                <w:color w:val="000000" w:themeColor="text1"/>
                <w:sz w:val="22"/>
                <w:szCs w:val="22"/>
              </w:rPr>
              <w:t>1502</w:t>
            </w:r>
          </w:p>
        </w:tc>
        <w:tc>
          <w:tcPr>
            <w:tcW w:w="1006" w:type="dxa"/>
            <w:shd w:val="clear" w:color="auto" w:fill="FFFFFF" w:themeFill="background1"/>
            <w:tcMar>
              <w:top w:w="15" w:type="dxa"/>
              <w:left w:w="15" w:type="dxa"/>
              <w:right w:w="15" w:type="dxa"/>
            </w:tcMar>
            <w:vAlign w:val="center"/>
          </w:tcPr>
          <w:p w14:paraId="6059A4D2" w14:textId="77777777" w:rsidR="0E4D9769" w:rsidRPr="008D6AC4" w:rsidRDefault="0E4D9769" w:rsidP="00DC3894">
            <w:pPr>
              <w:spacing w:before="0" w:after="0"/>
              <w:jc w:val="center"/>
              <w:rPr>
                <w:rFonts w:ascii="Verdana" w:hAnsi="Verdana"/>
              </w:rPr>
            </w:pPr>
            <w:r w:rsidRPr="008D6AC4">
              <w:rPr>
                <w:rFonts w:ascii="Verdana" w:eastAsia="Verdana" w:hAnsi="Verdana" w:cs="Verdana"/>
                <w:color w:val="000000" w:themeColor="text1"/>
                <w:sz w:val="22"/>
                <w:szCs w:val="22"/>
              </w:rPr>
              <w:t>1908</w:t>
            </w:r>
          </w:p>
        </w:tc>
        <w:tc>
          <w:tcPr>
            <w:tcW w:w="1067" w:type="dxa"/>
            <w:shd w:val="clear" w:color="auto" w:fill="FFFFFF" w:themeFill="background1"/>
            <w:tcMar>
              <w:top w:w="15" w:type="dxa"/>
              <w:left w:w="15" w:type="dxa"/>
              <w:right w:w="15" w:type="dxa"/>
            </w:tcMar>
            <w:vAlign w:val="center"/>
          </w:tcPr>
          <w:p w14:paraId="6A15037F" w14:textId="77777777" w:rsidR="0E4D9769" w:rsidRPr="008D6AC4" w:rsidRDefault="0E4D9769" w:rsidP="00DC3894">
            <w:pPr>
              <w:spacing w:before="0" w:after="0"/>
              <w:jc w:val="center"/>
              <w:rPr>
                <w:rFonts w:ascii="Verdana" w:hAnsi="Verdana"/>
              </w:rPr>
            </w:pPr>
            <w:r w:rsidRPr="008D6AC4">
              <w:rPr>
                <w:rFonts w:ascii="Verdana" w:eastAsia="Verdana" w:hAnsi="Verdana" w:cs="Verdana"/>
                <w:color w:val="000000" w:themeColor="text1"/>
                <w:sz w:val="22"/>
                <w:szCs w:val="22"/>
              </w:rPr>
              <w:t>557</w:t>
            </w:r>
          </w:p>
        </w:tc>
        <w:tc>
          <w:tcPr>
            <w:tcW w:w="1087" w:type="dxa"/>
            <w:shd w:val="clear" w:color="auto" w:fill="FFFFFF" w:themeFill="background1"/>
            <w:tcMar>
              <w:top w:w="15" w:type="dxa"/>
              <w:left w:w="15" w:type="dxa"/>
              <w:right w:w="15" w:type="dxa"/>
            </w:tcMar>
            <w:vAlign w:val="center"/>
          </w:tcPr>
          <w:p w14:paraId="43341EF7" w14:textId="77777777" w:rsidR="0E4D9769" w:rsidRPr="008D6AC4" w:rsidRDefault="0E4D9769" w:rsidP="00DC3894">
            <w:pPr>
              <w:spacing w:before="0" w:after="0"/>
              <w:jc w:val="center"/>
              <w:rPr>
                <w:rFonts w:ascii="Verdana" w:hAnsi="Verdana"/>
              </w:rPr>
            </w:pPr>
            <w:r w:rsidRPr="008D6AC4">
              <w:rPr>
                <w:rFonts w:ascii="Verdana" w:eastAsia="Verdana" w:hAnsi="Verdana" w:cs="Verdana"/>
                <w:color w:val="000000" w:themeColor="text1"/>
                <w:sz w:val="22"/>
                <w:szCs w:val="22"/>
              </w:rPr>
              <w:t>403</w:t>
            </w:r>
          </w:p>
        </w:tc>
        <w:tc>
          <w:tcPr>
            <w:tcW w:w="1092" w:type="dxa"/>
            <w:shd w:val="clear" w:color="auto" w:fill="FFFFFF" w:themeFill="background1"/>
            <w:tcMar>
              <w:top w:w="15" w:type="dxa"/>
              <w:left w:w="15" w:type="dxa"/>
              <w:right w:w="15" w:type="dxa"/>
            </w:tcMar>
            <w:vAlign w:val="center"/>
          </w:tcPr>
          <w:p w14:paraId="4194BEED" w14:textId="77777777" w:rsidR="0E4D9769" w:rsidRPr="008D6AC4" w:rsidRDefault="0E4D9769" w:rsidP="00DC3894">
            <w:pPr>
              <w:spacing w:before="0" w:after="0"/>
              <w:jc w:val="center"/>
              <w:rPr>
                <w:rFonts w:ascii="Verdana" w:hAnsi="Verdana"/>
              </w:rPr>
            </w:pPr>
            <w:r w:rsidRPr="008D6AC4">
              <w:rPr>
                <w:rFonts w:ascii="Verdana" w:eastAsia="Verdana" w:hAnsi="Verdana" w:cs="Verdana"/>
                <w:color w:val="000000" w:themeColor="text1"/>
                <w:sz w:val="22"/>
                <w:szCs w:val="22"/>
              </w:rPr>
              <w:t>14077</w:t>
            </w:r>
          </w:p>
        </w:tc>
      </w:tr>
      <w:tr w:rsidR="0E4D9769" w:rsidRPr="008D6AC4" w14:paraId="420D39C4" w14:textId="77777777" w:rsidTr="00A52D86">
        <w:trPr>
          <w:trHeight w:val="548"/>
        </w:trPr>
        <w:tc>
          <w:tcPr>
            <w:tcW w:w="1951" w:type="dxa"/>
            <w:shd w:val="clear" w:color="auto" w:fill="FFFFFF" w:themeFill="background1"/>
            <w:tcMar>
              <w:top w:w="15" w:type="dxa"/>
              <w:left w:w="15" w:type="dxa"/>
              <w:right w:w="15" w:type="dxa"/>
            </w:tcMar>
            <w:vAlign w:val="center"/>
          </w:tcPr>
          <w:p w14:paraId="36E53F49" w14:textId="77777777" w:rsidR="0E4D9769" w:rsidRPr="008D6AC4" w:rsidRDefault="0E4D9769" w:rsidP="00DC3894">
            <w:pPr>
              <w:spacing w:before="0" w:after="0"/>
              <w:rPr>
                <w:rFonts w:ascii="Verdana" w:hAnsi="Verdana"/>
              </w:rPr>
            </w:pPr>
            <w:r w:rsidRPr="008D6AC4">
              <w:rPr>
                <w:rFonts w:ascii="Verdana" w:eastAsia="Verdana" w:hAnsi="Verdana" w:cs="Verdana"/>
                <w:color w:val="000000" w:themeColor="text1"/>
                <w:sz w:val="22"/>
                <w:szCs w:val="22"/>
              </w:rPr>
              <w:t xml:space="preserve">2022/23 cont. </w:t>
            </w:r>
          </w:p>
        </w:tc>
        <w:tc>
          <w:tcPr>
            <w:tcW w:w="1190" w:type="dxa"/>
            <w:shd w:val="clear" w:color="auto" w:fill="FFFFFF" w:themeFill="background1"/>
            <w:tcMar>
              <w:top w:w="15" w:type="dxa"/>
              <w:left w:w="15" w:type="dxa"/>
              <w:right w:w="15" w:type="dxa"/>
            </w:tcMar>
            <w:vAlign w:val="center"/>
          </w:tcPr>
          <w:p w14:paraId="13B9B0E3" w14:textId="77777777" w:rsidR="0E4D9769" w:rsidRPr="008D6AC4" w:rsidRDefault="0E4D9769" w:rsidP="00DC3894">
            <w:pPr>
              <w:spacing w:before="0" w:after="0"/>
              <w:jc w:val="center"/>
              <w:rPr>
                <w:rFonts w:ascii="Verdana" w:hAnsi="Verdana"/>
              </w:rPr>
            </w:pPr>
            <w:r w:rsidRPr="008D6AC4">
              <w:rPr>
                <w:rFonts w:ascii="Verdana" w:eastAsia="Verdana" w:hAnsi="Verdana" w:cs="Verdana"/>
                <w:color w:val="000000" w:themeColor="text1"/>
                <w:sz w:val="22"/>
                <w:szCs w:val="22"/>
              </w:rPr>
              <w:t>2510</w:t>
            </w:r>
          </w:p>
        </w:tc>
        <w:tc>
          <w:tcPr>
            <w:tcW w:w="1269" w:type="dxa"/>
            <w:shd w:val="clear" w:color="auto" w:fill="FFFFFF" w:themeFill="background1"/>
            <w:tcMar>
              <w:top w:w="15" w:type="dxa"/>
              <w:left w:w="15" w:type="dxa"/>
              <w:right w:w="15" w:type="dxa"/>
            </w:tcMar>
            <w:vAlign w:val="center"/>
          </w:tcPr>
          <w:p w14:paraId="55C3A504" w14:textId="77777777" w:rsidR="0E4D9769" w:rsidRPr="008D6AC4" w:rsidRDefault="0E4D9769" w:rsidP="00DC3894">
            <w:pPr>
              <w:spacing w:before="0" w:after="0"/>
              <w:jc w:val="center"/>
              <w:rPr>
                <w:rFonts w:ascii="Verdana" w:hAnsi="Verdana"/>
              </w:rPr>
            </w:pPr>
            <w:r w:rsidRPr="008D6AC4">
              <w:rPr>
                <w:rFonts w:ascii="Verdana" w:eastAsia="Verdana" w:hAnsi="Verdana" w:cs="Verdana"/>
                <w:color w:val="000000" w:themeColor="text1"/>
                <w:sz w:val="22"/>
                <w:szCs w:val="22"/>
              </w:rPr>
              <w:t>1512</w:t>
            </w:r>
          </w:p>
        </w:tc>
        <w:tc>
          <w:tcPr>
            <w:tcW w:w="1006" w:type="dxa"/>
            <w:shd w:val="clear" w:color="auto" w:fill="FFFFFF" w:themeFill="background1"/>
            <w:tcMar>
              <w:top w:w="15" w:type="dxa"/>
              <w:left w:w="15" w:type="dxa"/>
              <w:right w:w="15" w:type="dxa"/>
            </w:tcMar>
            <w:vAlign w:val="center"/>
          </w:tcPr>
          <w:p w14:paraId="4D9E7F44" w14:textId="77777777" w:rsidR="0E4D9769" w:rsidRPr="008D6AC4" w:rsidRDefault="0E4D9769" w:rsidP="00DC3894">
            <w:pPr>
              <w:spacing w:before="0" w:after="0"/>
              <w:jc w:val="center"/>
              <w:rPr>
                <w:rFonts w:ascii="Verdana" w:hAnsi="Verdana"/>
              </w:rPr>
            </w:pPr>
            <w:r w:rsidRPr="008D6AC4">
              <w:rPr>
                <w:rFonts w:ascii="Verdana" w:eastAsia="Verdana" w:hAnsi="Verdana" w:cs="Verdana"/>
                <w:color w:val="000000" w:themeColor="text1"/>
                <w:sz w:val="22"/>
                <w:szCs w:val="22"/>
              </w:rPr>
              <w:t>1808</w:t>
            </w:r>
          </w:p>
        </w:tc>
        <w:tc>
          <w:tcPr>
            <w:tcW w:w="1067" w:type="dxa"/>
            <w:shd w:val="clear" w:color="auto" w:fill="FFFFFF" w:themeFill="background1"/>
            <w:tcMar>
              <w:top w:w="15" w:type="dxa"/>
              <w:left w:w="15" w:type="dxa"/>
              <w:right w:w="15" w:type="dxa"/>
            </w:tcMar>
            <w:vAlign w:val="center"/>
          </w:tcPr>
          <w:p w14:paraId="5485345C" w14:textId="77777777" w:rsidR="0E4D9769" w:rsidRPr="008D6AC4" w:rsidRDefault="0E4D9769" w:rsidP="00DC3894">
            <w:pPr>
              <w:spacing w:before="0" w:after="0"/>
              <w:jc w:val="center"/>
              <w:rPr>
                <w:rFonts w:ascii="Verdana" w:hAnsi="Verdana"/>
              </w:rPr>
            </w:pPr>
            <w:r w:rsidRPr="008D6AC4">
              <w:rPr>
                <w:rFonts w:ascii="Verdana" w:eastAsia="Verdana" w:hAnsi="Verdana" w:cs="Verdana"/>
                <w:color w:val="000000" w:themeColor="text1"/>
                <w:sz w:val="22"/>
                <w:szCs w:val="22"/>
              </w:rPr>
              <w:t>597</w:t>
            </w:r>
          </w:p>
        </w:tc>
        <w:tc>
          <w:tcPr>
            <w:tcW w:w="1087" w:type="dxa"/>
            <w:shd w:val="clear" w:color="auto" w:fill="FFFFFF" w:themeFill="background1"/>
            <w:tcMar>
              <w:top w:w="15" w:type="dxa"/>
              <w:left w:w="15" w:type="dxa"/>
              <w:right w:w="15" w:type="dxa"/>
            </w:tcMar>
            <w:vAlign w:val="center"/>
          </w:tcPr>
          <w:p w14:paraId="15369367" w14:textId="77777777" w:rsidR="0E4D9769" w:rsidRPr="008D6AC4" w:rsidRDefault="0E4D9769" w:rsidP="00DC3894">
            <w:pPr>
              <w:spacing w:before="0" w:after="0"/>
              <w:jc w:val="center"/>
              <w:rPr>
                <w:rFonts w:ascii="Verdana" w:hAnsi="Verdana"/>
              </w:rPr>
            </w:pPr>
            <w:r w:rsidRPr="008D6AC4">
              <w:rPr>
                <w:rFonts w:ascii="Verdana" w:eastAsia="Verdana" w:hAnsi="Verdana" w:cs="Verdana"/>
                <w:color w:val="000000" w:themeColor="text1"/>
                <w:sz w:val="22"/>
                <w:szCs w:val="22"/>
              </w:rPr>
              <w:t>356</w:t>
            </w:r>
          </w:p>
        </w:tc>
        <w:tc>
          <w:tcPr>
            <w:tcW w:w="1092" w:type="dxa"/>
            <w:shd w:val="clear" w:color="auto" w:fill="FFFFFF" w:themeFill="background1"/>
            <w:tcMar>
              <w:top w:w="15" w:type="dxa"/>
              <w:left w:w="15" w:type="dxa"/>
              <w:right w:w="15" w:type="dxa"/>
            </w:tcMar>
            <w:vAlign w:val="center"/>
          </w:tcPr>
          <w:p w14:paraId="69C1920F" w14:textId="77777777" w:rsidR="0E4D9769" w:rsidRPr="008D6AC4" w:rsidRDefault="0E4D9769" w:rsidP="00DC3894">
            <w:pPr>
              <w:spacing w:before="0" w:after="0"/>
              <w:jc w:val="center"/>
              <w:rPr>
                <w:rFonts w:ascii="Verdana" w:hAnsi="Verdana"/>
              </w:rPr>
            </w:pPr>
            <w:r w:rsidRPr="008D6AC4">
              <w:rPr>
                <w:rFonts w:ascii="Verdana" w:eastAsia="Verdana" w:hAnsi="Verdana" w:cs="Verdana"/>
                <w:color w:val="000000" w:themeColor="text1"/>
                <w:sz w:val="22"/>
                <w:szCs w:val="22"/>
              </w:rPr>
              <w:t>13182</w:t>
            </w:r>
          </w:p>
        </w:tc>
      </w:tr>
      <w:tr w:rsidR="0E4D9769" w:rsidRPr="008D6AC4" w14:paraId="55ABB150" w14:textId="77777777" w:rsidTr="00A52D86">
        <w:trPr>
          <w:trHeight w:val="533"/>
        </w:trPr>
        <w:tc>
          <w:tcPr>
            <w:tcW w:w="1951" w:type="dxa"/>
            <w:shd w:val="clear" w:color="auto" w:fill="FFFFFF" w:themeFill="background1"/>
            <w:tcMar>
              <w:top w:w="15" w:type="dxa"/>
              <w:left w:w="15" w:type="dxa"/>
              <w:right w:w="15" w:type="dxa"/>
            </w:tcMar>
            <w:vAlign w:val="center"/>
          </w:tcPr>
          <w:p w14:paraId="106DF8C3" w14:textId="77777777" w:rsidR="0E4D9769" w:rsidRPr="008D6AC4" w:rsidRDefault="0E4D9769" w:rsidP="00DC3894">
            <w:pPr>
              <w:spacing w:before="0" w:after="0"/>
              <w:rPr>
                <w:rFonts w:ascii="Verdana" w:hAnsi="Verdana"/>
              </w:rPr>
            </w:pPr>
            <w:r w:rsidRPr="008D6AC4">
              <w:rPr>
                <w:rFonts w:ascii="Verdana" w:eastAsia="Verdana" w:hAnsi="Verdana" w:cs="Verdana"/>
                <w:color w:val="000000" w:themeColor="text1"/>
                <w:sz w:val="22"/>
                <w:szCs w:val="22"/>
              </w:rPr>
              <w:t>2023/34 cont.</w:t>
            </w:r>
          </w:p>
        </w:tc>
        <w:tc>
          <w:tcPr>
            <w:tcW w:w="1190" w:type="dxa"/>
            <w:shd w:val="clear" w:color="auto" w:fill="FFFFFF" w:themeFill="background1"/>
            <w:tcMar>
              <w:top w:w="15" w:type="dxa"/>
              <w:left w:w="15" w:type="dxa"/>
              <w:right w:w="15" w:type="dxa"/>
            </w:tcMar>
            <w:vAlign w:val="center"/>
          </w:tcPr>
          <w:p w14:paraId="65ECFB2C" w14:textId="77777777" w:rsidR="0E4D9769" w:rsidRPr="008D6AC4" w:rsidRDefault="0E4D9769" w:rsidP="00DC3894">
            <w:pPr>
              <w:spacing w:before="0" w:after="0"/>
              <w:jc w:val="center"/>
              <w:rPr>
                <w:rFonts w:ascii="Verdana" w:hAnsi="Verdana"/>
              </w:rPr>
            </w:pPr>
            <w:r w:rsidRPr="008D6AC4">
              <w:rPr>
                <w:rFonts w:ascii="Verdana" w:eastAsia="Verdana" w:hAnsi="Verdana" w:cs="Verdana"/>
                <w:color w:val="000000" w:themeColor="text1"/>
                <w:sz w:val="22"/>
                <w:szCs w:val="22"/>
              </w:rPr>
              <w:t>649</w:t>
            </w:r>
          </w:p>
        </w:tc>
        <w:tc>
          <w:tcPr>
            <w:tcW w:w="1269" w:type="dxa"/>
            <w:shd w:val="clear" w:color="auto" w:fill="FFFFFF" w:themeFill="background1"/>
            <w:tcMar>
              <w:top w:w="15" w:type="dxa"/>
              <w:left w:w="15" w:type="dxa"/>
              <w:right w:w="15" w:type="dxa"/>
            </w:tcMar>
            <w:vAlign w:val="center"/>
          </w:tcPr>
          <w:p w14:paraId="4F6CB8E0" w14:textId="77777777" w:rsidR="0E4D9769" w:rsidRPr="008D6AC4" w:rsidRDefault="0E4D9769" w:rsidP="00DC3894">
            <w:pPr>
              <w:spacing w:before="0" w:after="0"/>
              <w:jc w:val="center"/>
              <w:rPr>
                <w:rFonts w:ascii="Verdana" w:hAnsi="Verdana"/>
              </w:rPr>
            </w:pPr>
            <w:r w:rsidRPr="008D6AC4">
              <w:rPr>
                <w:rFonts w:ascii="Verdana" w:eastAsia="Verdana" w:hAnsi="Verdana" w:cs="Verdana"/>
                <w:color w:val="000000" w:themeColor="text1"/>
                <w:sz w:val="22"/>
                <w:szCs w:val="22"/>
              </w:rPr>
              <w:t>458</w:t>
            </w:r>
          </w:p>
        </w:tc>
        <w:tc>
          <w:tcPr>
            <w:tcW w:w="1006" w:type="dxa"/>
            <w:shd w:val="clear" w:color="auto" w:fill="FFFFFF" w:themeFill="background1"/>
            <w:tcMar>
              <w:top w:w="15" w:type="dxa"/>
              <w:left w:w="15" w:type="dxa"/>
              <w:right w:w="15" w:type="dxa"/>
            </w:tcMar>
            <w:vAlign w:val="center"/>
          </w:tcPr>
          <w:p w14:paraId="18FD46D0" w14:textId="77777777" w:rsidR="0E4D9769" w:rsidRPr="008D6AC4" w:rsidRDefault="0E4D9769" w:rsidP="00DC3894">
            <w:pPr>
              <w:spacing w:before="0" w:after="0"/>
              <w:jc w:val="center"/>
              <w:rPr>
                <w:rFonts w:ascii="Verdana" w:hAnsi="Verdana"/>
              </w:rPr>
            </w:pPr>
            <w:r w:rsidRPr="008D6AC4">
              <w:rPr>
                <w:rFonts w:ascii="Verdana" w:eastAsia="Verdana" w:hAnsi="Verdana" w:cs="Verdana"/>
                <w:color w:val="000000" w:themeColor="text1"/>
                <w:sz w:val="22"/>
                <w:szCs w:val="22"/>
              </w:rPr>
              <w:t>504</w:t>
            </w:r>
          </w:p>
        </w:tc>
        <w:tc>
          <w:tcPr>
            <w:tcW w:w="1067" w:type="dxa"/>
            <w:shd w:val="clear" w:color="auto" w:fill="FFFFFF" w:themeFill="background1"/>
            <w:tcMar>
              <w:top w:w="15" w:type="dxa"/>
              <w:left w:w="15" w:type="dxa"/>
              <w:right w:w="15" w:type="dxa"/>
            </w:tcMar>
            <w:vAlign w:val="center"/>
          </w:tcPr>
          <w:p w14:paraId="47926072" w14:textId="77777777" w:rsidR="0E4D9769" w:rsidRPr="008D6AC4" w:rsidRDefault="0E4D9769" w:rsidP="00DC3894">
            <w:pPr>
              <w:spacing w:before="0" w:after="0"/>
              <w:jc w:val="center"/>
              <w:rPr>
                <w:rFonts w:ascii="Verdana" w:hAnsi="Verdana"/>
              </w:rPr>
            </w:pPr>
            <w:r w:rsidRPr="008D6AC4">
              <w:rPr>
                <w:rFonts w:ascii="Verdana" w:eastAsia="Verdana" w:hAnsi="Verdana" w:cs="Verdana"/>
                <w:color w:val="000000" w:themeColor="text1"/>
                <w:sz w:val="22"/>
                <w:szCs w:val="22"/>
              </w:rPr>
              <w:t>172</w:t>
            </w:r>
          </w:p>
        </w:tc>
        <w:tc>
          <w:tcPr>
            <w:tcW w:w="1087" w:type="dxa"/>
            <w:shd w:val="clear" w:color="auto" w:fill="FFFFFF" w:themeFill="background1"/>
            <w:tcMar>
              <w:top w:w="15" w:type="dxa"/>
              <w:left w:w="15" w:type="dxa"/>
              <w:right w:w="15" w:type="dxa"/>
            </w:tcMar>
            <w:vAlign w:val="center"/>
          </w:tcPr>
          <w:p w14:paraId="558AC8CF" w14:textId="77777777" w:rsidR="0E4D9769" w:rsidRPr="008D6AC4" w:rsidRDefault="0E4D9769" w:rsidP="00DC3894">
            <w:pPr>
              <w:spacing w:before="0" w:after="0"/>
              <w:jc w:val="center"/>
              <w:rPr>
                <w:rFonts w:ascii="Verdana" w:hAnsi="Verdana"/>
              </w:rPr>
            </w:pPr>
            <w:r w:rsidRPr="008D6AC4">
              <w:rPr>
                <w:rFonts w:ascii="Verdana" w:eastAsia="Verdana" w:hAnsi="Verdana" w:cs="Verdana"/>
                <w:color w:val="000000" w:themeColor="text1"/>
                <w:sz w:val="22"/>
                <w:szCs w:val="22"/>
              </w:rPr>
              <w:t>89</w:t>
            </w:r>
          </w:p>
        </w:tc>
        <w:tc>
          <w:tcPr>
            <w:tcW w:w="1092" w:type="dxa"/>
            <w:shd w:val="clear" w:color="auto" w:fill="FFFFFF" w:themeFill="background1"/>
            <w:tcMar>
              <w:top w:w="15" w:type="dxa"/>
              <w:left w:w="15" w:type="dxa"/>
              <w:right w:w="15" w:type="dxa"/>
            </w:tcMar>
            <w:vAlign w:val="center"/>
          </w:tcPr>
          <w:p w14:paraId="48468D68" w14:textId="77777777" w:rsidR="0E4D9769" w:rsidRPr="008D6AC4" w:rsidRDefault="0E4D9769" w:rsidP="00DC3894">
            <w:pPr>
              <w:spacing w:before="0" w:after="0"/>
              <w:jc w:val="center"/>
              <w:rPr>
                <w:rFonts w:ascii="Verdana" w:hAnsi="Verdana"/>
              </w:rPr>
            </w:pPr>
            <w:r w:rsidRPr="008D6AC4">
              <w:rPr>
                <w:rFonts w:ascii="Verdana" w:eastAsia="Verdana" w:hAnsi="Verdana" w:cs="Verdana"/>
                <w:color w:val="000000" w:themeColor="text1"/>
                <w:sz w:val="22"/>
                <w:szCs w:val="22"/>
              </w:rPr>
              <w:t>3544</w:t>
            </w:r>
          </w:p>
        </w:tc>
      </w:tr>
      <w:tr w:rsidR="0E4D9769" w:rsidRPr="008D6AC4" w14:paraId="6C31ECBF" w14:textId="77777777" w:rsidTr="00A52D86">
        <w:trPr>
          <w:trHeight w:val="722"/>
        </w:trPr>
        <w:tc>
          <w:tcPr>
            <w:tcW w:w="1951" w:type="dxa"/>
            <w:shd w:val="clear" w:color="auto" w:fill="FFFFFF" w:themeFill="background1"/>
            <w:tcMar>
              <w:top w:w="15" w:type="dxa"/>
              <w:left w:w="15" w:type="dxa"/>
              <w:right w:w="15" w:type="dxa"/>
            </w:tcMar>
            <w:vAlign w:val="center"/>
          </w:tcPr>
          <w:p w14:paraId="36BE1E6F" w14:textId="77777777" w:rsidR="0E4D9769" w:rsidRPr="008D6AC4" w:rsidRDefault="0E4D9769" w:rsidP="00DC3894">
            <w:pPr>
              <w:spacing w:before="0" w:after="0"/>
              <w:rPr>
                <w:rFonts w:ascii="Verdana" w:hAnsi="Verdana"/>
              </w:rPr>
            </w:pPr>
            <w:r w:rsidRPr="008D6AC4">
              <w:rPr>
                <w:rFonts w:ascii="Verdana" w:eastAsia="Verdana" w:hAnsi="Verdana" w:cs="Verdana"/>
                <w:color w:val="000000" w:themeColor="text1"/>
                <w:sz w:val="22"/>
                <w:szCs w:val="22"/>
              </w:rPr>
              <w:t>Total 2021/22- 2023/24 cont.</w:t>
            </w:r>
          </w:p>
        </w:tc>
        <w:tc>
          <w:tcPr>
            <w:tcW w:w="1190" w:type="dxa"/>
            <w:shd w:val="clear" w:color="auto" w:fill="FFFFFF" w:themeFill="background1"/>
            <w:tcMar>
              <w:top w:w="15" w:type="dxa"/>
              <w:left w:w="15" w:type="dxa"/>
              <w:right w:w="15" w:type="dxa"/>
            </w:tcMar>
            <w:vAlign w:val="center"/>
          </w:tcPr>
          <w:p w14:paraId="36A25008" w14:textId="77777777" w:rsidR="0E4D9769" w:rsidRPr="008D6AC4" w:rsidRDefault="0E4D9769" w:rsidP="00DC3894">
            <w:pPr>
              <w:spacing w:before="0" w:after="0"/>
              <w:jc w:val="center"/>
              <w:rPr>
                <w:rFonts w:ascii="Verdana" w:hAnsi="Verdana"/>
              </w:rPr>
            </w:pPr>
            <w:r w:rsidRPr="008D6AC4">
              <w:rPr>
                <w:rFonts w:ascii="Verdana" w:eastAsia="Verdana" w:hAnsi="Verdana" w:cs="Verdana"/>
                <w:color w:val="000000" w:themeColor="text1"/>
                <w:sz w:val="22"/>
                <w:szCs w:val="22"/>
              </w:rPr>
              <w:t>5885</w:t>
            </w:r>
          </w:p>
        </w:tc>
        <w:tc>
          <w:tcPr>
            <w:tcW w:w="1269" w:type="dxa"/>
            <w:shd w:val="clear" w:color="auto" w:fill="FFFFFF" w:themeFill="background1"/>
            <w:tcMar>
              <w:top w:w="15" w:type="dxa"/>
              <w:left w:w="15" w:type="dxa"/>
              <w:right w:w="15" w:type="dxa"/>
            </w:tcMar>
            <w:vAlign w:val="center"/>
          </w:tcPr>
          <w:p w14:paraId="0BE5163B" w14:textId="77777777" w:rsidR="0E4D9769" w:rsidRPr="008D6AC4" w:rsidRDefault="0E4D9769" w:rsidP="00DC3894">
            <w:pPr>
              <w:spacing w:before="0" w:after="0"/>
              <w:jc w:val="center"/>
              <w:rPr>
                <w:rFonts w:ascii="Verdana" w:hAnsi="Verdana"/>
              </w:rPr>
            </w:pPr>
            <w:r w:rsidRPr="008D6AC4">
              <w:rPr>
                <w:rFonts w:ascii="Verdana" w:eastAsia="Verdana" w:hAnsi="Verdana" w:cs="Verdana"/>
                <w:color w:val="000000" w:themeColor="text1"/>
                <w:sz w:val="22"/>
                <w:szCs w:val="22"/>
              </w:rPr>
              <w:t>3472</w:t>
            </w:r>
          </w:p>
        </w:tc>
        <w:tc>
          <w:tcPr>
            <w:tcW w:w="1006" w:type="dxa"/>
            <w:shd w:val="clear" w:color="auto" w:fill="FFFFFF" w:themeFill="background1"/>
            <w:tcMar>
              <w:top w:w="15" w:type="dxa"/>
              <w:left w:w="15" w:type="dxa"/>
              <w:right w:w="15" w:type="dxa"/>
            </w:tcMar>
            <w:vAlign w:val="center"/>
          </w:tcPr>
          <w:p w14:paraId="6E92884F" w14:textId="77777777" w:rsidR="0E4D9769" w:rsidRPr="008D6AC4" w:rsidRDefault="0E4D9769" w:rsidP="00DC3894">
            <w:pPr>
              <w:spacing w:before="0" w:after="0"/>
              <w:jc w:val="center"/>
              <w:rPr>
                <w:rFonts w:ascii="Verdana" w:hAnsi="Verdana"/>
              </w:rPr>
            </w:pPr>
            <w:r w:rsidRPr="008D6AC4">
              <w:rPr>
                <w:rFonts w:ascii="Verdana" w:eastAsia="Verdana" w:hAnsi="Verdana" w:cs="Verdana"/>
                <w:color w:val="000000" w:themeColor="text1"/>
                <w:sz w:val="22"/>
                <w:szCs w:val="22"/>
              </w:rPr>
              <w:t>4220</w:t>
            </w:r>
          </w:p>
        </w:tc>
        <w:tc>
          <w:tcPr>
            <w:tcW w:w="1067" w:type="dxa"/>
            <w:shd w:val="clear" w:color="auto" w:fill="FFFFFF" w:themeFill="background1"/>
            <w:tcMar>
              <w:top w:w="15" w:type="dxa"/>
              <w:left w:w="15" w:type="dxa"/>
              <w:right w:w="15" w:type="dxa"/>
            </w:tcMar>
            <w:vAlign w:val="center"/>
          </w:tcPr>
          <w:p w14:paraId="0684255B" w14:textId="77777777" w:rsidR="0E4D9769" w:rsidRPr="008D6AC4" w:rsidRDefault="0E4D9769" w:rsidP="00DC3894">
            <w:pPr>
              <w:spacing w:before="0" w:after="0"/>
              <w:jc w:val="center"/>
              <w:rPr>
                <w:rFonts w:ascii="Verdana" w:hAnsi="Verdana"/>
              </w:rPr>
            </w:pPr>
            <w:r w:rsidRPr="008D6AC4">
              <w:rPr>
                <w:rFonts w:ascii="Verdana" w:eastAsia="Verdana" w:hAnsi="Verdana" w:cs="Verdana"/>
                <w:color w:val="000000" w:themeColor="text1"/>
                <w:sz w:val="22"/>
                <w:szCs w:val="22"/>
              </w:rPr>
              <w:t>1326</w:t>
            </w:r>
          </w:p>
        </w:tc>
        <w:tc>
          <w:tcPr>
            <w:tcW w:w="1087" w:type="dxa"/>
            <w:shd w:val="clear" w:color="auto" w:fill="FFFFFF" w:themeFill="background1"/>
            <w:tcMar>
              <w:top w:w="15" w:type="dxa"/>
              <w:left w:w="15" w:type="dxa"/>
              <w:right w:w="15" w:type="dxa"/>
            </w:tcMar>
            <w:vAlign w:val="center"/>
          </w:tcPr>
          <w:p w14:paraId="1699C1D8" w14:textId="77777777" w:rsidR="0E4D9769" w:rsidRPr="008D6AC4" w:rsidRDefault="0E4D9769" w:rsidP="00DC3894">
            <w:pPr>
              <w:spacing w:before="0" w:after="0"/>
              <w:jc w:val="center"/>
              <w:rPr>
                <w:rFonts w:ascii="Verdana" w:hAnsi="Verdana"/>
              </w:rPr>
            </w:pPr>
            <w:r w:rsidRPr="008D6AC4">
              <w:rPr>
                <w:rFonts w:ascii="Verdana" w:eastAsia="Verdana" w:hAnsi="Verdana" w:cs="Verdana"/>
                <w:color w:val="000000" w:themeColor="text1"/>
                <w:sz w:val="22"/>
                <w:szCs w:val="22"/>
              </w:rPr>
              <w:t>848</w:t>
            </w:r>
          </w:p>
        </w:tc>
        <w:tc>
          <w:tcPr>
            <w:tcW w:w="1092" w:type="dxa"/>
            <w:shd w:val="clear" w:color="auto" w:fill="FFFFFF" w:themeFill="background1"/>
            <w:tcMar>
              <w:top w:w="15" w:type="dxa"/>
              <w:left w:w="15" w:type="dxa"/>
              <w:right w:w="15" w:type="dxa"/>
            </w:tcMar>
            <w:vAlign w:val="center"/>
          </w:tcPr>
          <w:p w14:paraId="23AE2E46" w14:textId="77777777" w:rsidR="0E4D9769" w:rsidRPr="008D6AC4" w:rsidRDefault="0E4D9769" w:rsidP="00DC3894">
            <w:pPr>
              <w:spacing w:before="0" w:after="0"/>
              <w:jc w:val="center"/>
              <w:rPr>
                <w:rFonts w:ascii="Verdana" w:hAnsi="Verdana"/>
              </w:rPr>
            </w:pPr>
            <w:r w:rsidRPr="008D6AC4">
              <w:rPr>
                <w:rFonts w:ascii="Verdana" w:eastAsia="Verdana" w:hAnsi="Verdana" w:cs="Verdana"/>
                <w:color w:val="000000" w:themeColor="text1"/>
                <w:sz w:val="22"/>
                <w:szCs w:val="22"/>
              </w:rPr>
              <w:t>30803</w:t>
            </w:r>
          </w:p>
        </w:tc>
      </w:tr>
      <w:tr w:rsidR="0E4D9769" w:rsidRPr="008D6AC4" w14:paraId="5F36C08F" w14:textId="77777777" w:rsidTr="00A52D86">
        <w:trPr>
          <w:trHeight w:val="700"/>
        </w:trPr>
        <w:tc>
          <w:tcPr>
            <w:tcW w:w="1951" w:type="dxa"/>
            <w:shd w:val="clear" w:color="auto" w:fill="FFFFFF" w:themeFill="background1"/>
            <w:tcMar>
              <w:top w:w="15" w:type="dxa"/>
              <w:left w:w="15" w:type="dxa"/>
              <w:right w:w="15" w:type="dxa"/>
            </w:tcMar>
            <w:vAlign w:val="center"/>
          </w:tcPr>
          <w:p w14:paraId="525459DD" w14:textId="77777777" w:rsidR="0E4D9769" w:rsidRPr="008D6AC4" w:rsidRDefault="0E4D9769" w:rsidP="00DC3894">
            <w:pPr>
              <w:spacing w:before="0" w:after="0"/>
              <w:rPr>
                <w:rFonts w:ascii="Verdana" w:hAnsi="Verdana"/>
              </w:rPr>
            </w:pPr>
            <w:r w:rsidRPr="008D6AC4">
              <w:rPr>
                <w:rFonts w:ascii="Verdana" w:eastAsia="Verdana" w:hAnsi="Verdana" w:cs="Verdana"/>
                <w:color w:val="000000" w:themeColor="text1"/>
                <w:sz w:val="22"/>
                <w:szCs w:val="22"/>
              </w:rPr>
              <w:t>% of total procedures cont.</w:t>
            </w:r>
          </w:p>
        </w:tc>
        <w:tc>
          <w:tcPr>
            <w:tcW w:w="1190" w:type="dxa"/>
            <w:shd w:val="clear" w:color="auto" w:fill="FFFFFF" w:themeFill="background1"/>
            <w:tcMar>
              <w:top w:w="15" w:type="dxa"/>
              <w:left w:w="15" w:type="dxa"/>
              <w:right w:w="15" w:type="dxa"/>
            </w:tcMar>
            <w:vAlign w:val="center"/>
          </w:tcPr>
          <w:p w14:paraId="09086481" w14:textId="77777777" w:rsidR="0E4D9769" w:rsidRPr="008D6AC4" w:rsidRDefault="0E4D9769" w:rsidP="00DC3894">
            <w:pPr>
              <w:spacing w:before="0" w:after="0"/>
              <w:jc w:val="center"/>
              <w:rPr>
                <w:rFonts w:ascii="Verdana" w:hAnsi="Verdana"/>
              </w:rPr>
            </w:pPr>
            <w:r w:rsidRPr="008D6AC4">
              <w:rPr>
                <w:rFonts w:ascii="Verdana" w:eastAsia="Verdana" w:hAnsi="Verdana" w:cs="Verdana"/>
                <w:color w:val="000000" w:themeColor="text1"/>
                <w:sz w:val="22"/>
                <w:szCs w:val="22"/>
              </w:rPr>
              <w:t>19.11%</w:t>
            </w:r>
          </w:p>
        </w:tc>
        <w:tc>
          <w:tcPr>
            <w:tcW w:w="1269" w:type="dxa"/>
            <w:shd w:val="clear" w:color="auto" w:fill="FFFFFF" w:themeFill="background1"/>
            <w:tcMar>
              <w:top w:w="15" w:type="dxa"/>
              <w:left w:w="15" w:type="dxa"/>
              <w:right w:w="15" w:type="dxa"/>
            </w:tcMar>
            <w:vAlign w:val="center"/>
          </w:tcPr>
          <w:p w14:paraId="22046DF3" w14:textId="77777777" w:rsidR="0E4D9769" w:rsidRPr="008D6AC4" w:rsidRDefault="0E4D9769" w:rsidP="00DC3894">
            <w:pPr>
              <w:spacing w:before="0" w:after="0"/>
              <w:jc w:val="center"/>
              <w:rPr>
                <w:rFonts w:ascii="Verdana" w:hAnsi="Verdana"/>
              </w:rPr>
            </w:pPr>
            <w:r w:rsidRPr="008D6AC4">
              <w:rPr>
                <w:rFonts w:ascii="Verdana" w:eastAsia="Verdana" w:hAnsi="Verdana" w:cs="Verdana"/>
                <w:color w:val="000000" w:themeColor="text1"/>
                <w:sz w:val="22"/>
                <w:szCs w:val="22"/>
              </w:rPr>
              <w:t>11.27%</w:t>
            </w:r>
          </w:p>
        </w:tc>
        <w:tc>
          <w:tcPr>
            <w:tcW w:w="1006" w:type="dxa"/>
            <w:shd w:val="clear" w:color="auto" w:fill="FFFFFF" w:themeFill="background1"/>
            <w:tcMar>
              <w:top w:w="15" w:type="dxa"/>
              <w:left w:w="15" w:type="dxa"/>
              <w:right w:w="15" w:type="dxa"/>
            </w:tcMar>
            <w:vAlign w:val="center"/>
          </w:tcPr>
          <w:p w14:paraId="1EFAC8E3" w14:textId="77777777" w:rsidR="0E4D9769" w:rsidRPr="008D6AC4" w:rsidRDefault="0E4D9769" w:rsidP="00DC3894">
            <w:pPr>
              <w:spacing w:before="0" w:after="0"/>
              <w:jc w:val="center"/>
              <w:rPr>
                <w:rFonts w:ascii="Verdana" w:hAnsi="Verdana"/>
              </w:rPr>
            </w:pPr>
            <w:r w:rsidRPr="008D6AC4">
              <w:rPr>
                <w:rFonts w:ascii="Verdana" w:eastAsia="Verdana" w:hAnsi="Verdana" w:cs="Verdana"/>
                <w:color w:val="000000" w:themeColor="text1"/>
                <w:sz w:val="22"/>
                <w:szCs w:val="22"/>
              </w:rPr>
              <w:t>13.70%</w:t>
            </w:r>
          </w:p>
        </w:tc>
        <w:tc>
          <w:tcPr>
            <w:tcW w:w="1067" w:type="dxa"/>
            <w:shd w:val="clear" w:color="auto" w:fill="FFFFFF" w:themeFill="background1"/>
            <w:tcMar>
              <w:top w:w="15" w:type="dxa"/>
              <w:left w:w="15" w:type="dxa"/>
              <w:right w:w="15" w:type="dxa"/>
            </w:tcMar>
            <w:vAlign w:val="center"/>
          </w:tcPr>
          <w:p w14:paraId="15F97C7E" w14:textId="77777777" w:rsidR="0E4D9769" w:rsidRPr="008D6AC4" w:rsidRDefault="0E4D9769" w:rsidP="00DC3894">
            <w:pPr>
              <w:spacing w:before="0" w:after="0"/>
              <w:jc w:val="center"/>
              <w:rPr>
                <w:rFonts w:ascii="Verdana" w:hAnsi="Verdana"/>
              </w:rPr>
            </w:pPr>
            <w:r w:rsidRPr="008D6AC4">
              <w:rPr>
                <w:rFonts w:ascii="Verdana" w:eastAsia="Verdana" w:hAnsi="Verdana" w:cs="Verdana"/>
                <w:color w:val="000000" w:themeColor="text1"/>
                <w:sz w:val="22"/>
                <w:szCs w:val="22"/>
              </w:rPr>
              <w:t>4.30%</w:t>
            </w:r>
          </w:p>
        </w:tc>
        <w:tc>
          <w:tcPr>
            <w:tcW w:w="1087" w:type="dxa"/>
            <w:shd w:val="clear" w:color="auto" w:fill="FFFFFF" w:themeFill="background1"/>
            <w:tcMar>
              <w:top w:w="15" w:type="dxa"/>
              <w:left w:w="15" w:type="dxa"/>
              <w:right w:w="15" w:type="dxa"/>
            </w:tcMar>
            <w:vAlign w:val="center"/>
          </w:tcPr>
          <w:p w14:paraId="1F29A0F4" w14:textId="77777777" w:rsidR="0E4D9769" w:rsidRPr="008D6AC4" w:rsidRDefault="0E4D9769" w:rsidP="00DC3894">
            <w:pPr>
              <w:spacing w:before="0" w:after="0"/>
              <w:jc w:val="center"/>
              <w:rPr>
                <w:rFonts w:ascii="Verdana" w:hAnsi="Verdana"/>
              </w:rPr>
            </w:pPr>
            <w:r w:rsidRPr="008D6AC4">
              <w:rPr>
                <w:rFonts w:ascii="Verdana" w:eastAsia="Verdana" w:hAnsi="Verdana" w:cs="Verdana"/>
                <w:color w:val="000000" w:themeColor="text1"/>
                <w:sz w:val="22"/>
                <w:szCs w:val="22"/>
              </w:rPr>
              <w:t>2.75%</w:t>
            </w:r>
          </w:p>
        </w:tc>
        <w:tc>
          <w:tcPr>
            <w:tcW w:w="1092" w:type="dxa"/>
            <w:shd w:val="clear" w:color="auto" w:fill="FFFFFF" w:themeFill="background1"/>
            <w:tcMar>
              <w:top w:w="15" w:type="dxa"/>
              <w:left w:w="15" w:type="dxa"/>
              <w:right w:w="15" w:type="dxa"/>
            </w:tcMar>
            <w:vAlign w:val="center"/>
          </w:tcPr>
          <w:p w14:paraId="1B106671" w14:textId="77777777" w:rsidR="0E4D9769" w:rsidRPr="008D6AC4" w:rsidRDefault="0E4D9769" w:rsidP="00DC3894">
            <w:pPr>
              <w:spacing w:before="0" w:after="0"/>
              <w:jc w:val="center"/>
              <w:rPr>
                <w:rFonts w:ascii="Verdana" w:hAnsi="Verdana"/>
              </w:rPr>
            </w:pPr>
            <w:r w:rsidRPr="008D6AC4">
              <w:rPr>
                <w:rFonts w:ascii="Verdana" w:eastAsia="Verdana" w:hAnsi="Verdana" w:cs="Verdana"/>
                <w:color w:val="000000" w:themeColor="text1"/>
                <w:sz w:val="22"/>
                <w:szCs w:val="22"/>
              </w:rPr>
              <w:t>100.00%</w:t>
            </w:r>
          </w:p>
        </w:tc>
      </w:tr>
    </w:tbl>
    <w:p w14:paraId="3E36B767" w14:textId="5426C6A7" w:rsidR="00B21566" w:rsidRDefault="5807C76A" w:rsidP="00B21566">
      <w:pPr>
        <w:jc w:val="both"/>
        <w:rPr>
          <w:rFonts w:ascii="Verdana" w:hAnsi="Verdana"/>
          <w:sz w:val="22"/>
          <w:szCs w:val="22"/>
        </w:rPr>
      </w:pPr>
      <w:r w:rsidRPr="136F3BEB">
        <w:rPr>
          <w:rFonts w:ascii="Verdana" w:hAnsi="Verdana"/>
          <w:sz w:val="22"/>
          <w:szCs w:val="22"/>
        </w:rPr>
        <w:t xml:space="preserve">Trends in </w:t>
      </w:r>
      <w:r w:rsidR="3B5EF826" w:rsidRPr="136F3BEB">
        <w:rPr>
          <w:rFonts w:ascii="Verdana" w:hAnsi="Verdana"/>
          <w:sz w:val="22"/>
          <w:szCs w:val="22"/>
        </w:rPr>
        <w:t xml:space="preserve">LARC insertions </w:t>
      </w:r>
      <w:r w:rsidR="3B5EF826" w:rsidRPr="136F3BEB">
        <w:rPr>
          <w:rFonts w:ascii="Verdana" w:hAnsi="Verdana"/>
          <w:b/>
          <w:bCs/>
          <w:sz w:val="22"/>
          <w:szCs w:val="22"/>
        </w:rPr>
        <w:t>(</w:t>
      </w:r>
      <w:r w:rsidR="6892E3FA" w:rsidRPr="136F3BEB">
        <w:rPr>
          <w:rFonts w:ascii="Verdana" w:hAnsi="Verdana"/>
          <w:b/>
          <w:bCs/>
          <w:sz w:val="22"/>
          <w:szCs w:val="22"/>
        </w:rPr>
        <w:t>F</w:t>
      </w:r>
      <w:r w:rsidR="3B5EF826" w:rsidRPr="136F3BEB">
        <w:rPr>
          <w:rFonts w:ascii="Verdana" w:hAnsi="Verdana"/>
          <w:b/>
          <w:bCs/>
          <w:sz w:val="22"/>
          <w:szCs w:val="22"/>
        </w:rPr>
        <w:t>igure 1</w:t>
      </w:r>
      <w:r w:rsidR="70B53B00" w:rsidRPr="136F3BEB">
        <w:rPr>
          <w:rFonts w:ascii="Verdana" w:hAnsi="Verdana"/>
          <w:b/>
          <w:bCs/>
          <w:sz w:val="22"/>
          <w:szCs w:val="22"/>
        </w:rPr>
        <w:t>8</w:t>
      </w:r>
      <w:r w:rsidR="3B5EF826" w:rsidRPr="136F3BEB">
        <w:rPr>
          <w:rFonts w:ascii="Verdana" w:hAnsi="Verdana"/>
          <w:b/>
          <w:bCs/>
          <w:sz w:val="22"/>
          <w:szCs w:val="22"/>
        </w:rPr>
        <w:t>)</w:t>
      </w:r>
      <w:r w:rsidR="3B5EF826" w:rsidRPr="136F3BEB">
        <w:rPr>
          <w:rFonts w:ascii="Verdana" w:hAnsi="Verdana"/>
          <w:sz w:val="22"/>
          <w:szCs w:val="22"/>
        </w:rPr>
        <w:t xml:space="preserve"> show a decline during the COVID-19 pandemic which has not returned to baseline by 2022/23. A similar trend is seen for LARC removals.</w:t>
      </w:r>
    </w:p>
    <w:p w14:paraId="2662488D" w14:textId="77777777" w:rsidR="00121328" w:rsidRDefault="00121328">
      <w:pPr>
        <w:spacing w:before="0" w:after="200"/>
        <w:rPr>
          <w:rFonts w:ascii="Verdana" w:hAnsi="Verdana"/>
          <w:b/>
          <w:bCs/>
          <w:sz w:val="22"/>
          <w:szCs w:val="22"/>
        </w:rPr>
      </w:pPr>
      <w:r>
        <w:rPr>
          <w:rFonts w:ascii="Verdana" w:hAnsi="Verdana"/>
          <w:b/>
          <w:bCs/>
          <w:sz w:val="22"/>
          <w:szCs w:val="22"/>
        </w:rPr>
        <w:br w:type="page"/>
      </w:r>
    </w:p>
    <w:p w14:paraId="013831A2" w14:textId="0C5EA811" w:rsidR="0011787F" w:rsidRDefault="3F3D0F0E" w:rsidP="0011787F">
      <w:pPr>
        <w:rPr>
          <w:rFonts w:ascii="Verdana" w:hAnsi="Verdana"/>
          <w:sz w:val="22"/>
          <w:szCs w:val="22"/>
        </w:rPr>
      </w:pPr>
      <w:r w:rsidRPr="008D6AC4">
        <w:rPr>
          <w:rFonts w:ascii="Verdana" w:hAnsi="Verdana"/>
          <w:b/>
          <w:bCs/>
          <w:sz w:val="22"/>
          <w:szCs w:val="22"/>
        </w:rPr>
        <w:lastRenderedPageBreak/>
        <w:t>Figure 1</w:t>
      </w:r>
      <w:r w:rsidR="18AC9D9F" w:rsidRPr="008D6AC4">
        <w:rPr>
          <w:rFonts w:ascii="Verdana" w:hAnsi="Verdana"/>
          <w:b/>
          <w:bCs/>
          <w:sz w:val="22"/>
          <w:szCs w:val="22"/>
        </w:rPr>
        <w:t>8</w:t>
      </w:r>
      <w:r w:rsidRPr="008D6AC4">
        <w:rPr>
          <w:rFonts w:ascii="Verdana" w:hAnsi="Verdana"/>
          <w:b/>
          <w:bCs/>
          <w:sz w:val="22"/>
          <w:szCs w:val="22"/>
        </w:rPr>
        <w:t xml:space="preserve">: </w:t>
      </w:r>
      <w:r w:rsidR="1686851E" w:rsidRPr="008D6AC4">
        <w:rPr>
          <w:rFonts w:ascii="Verdana" w:hAnsi="Verdana"/>
          <w:b/>
          <w:bCs/>
          <w:sz w:val="22"/>
          <w:szCs w:val="22"/>
        </w:rPr>
        <w:t xml:space="preserve">Rate of </w:t>
      </w:r>
      <w:r w:rsidR="4E735EC7" w:rsidRPr="008D6AC4">
        <w:rPr>
          <w:rFonts w:ascii="Verdana" w:hAnsi="Verdana"/>
          <w:b/>
          <w:bCs/>
          <w:sz w:val="22"/>
          <w:szCs w:val="22"/>
        </w:rPr>
        <w:t xml:space="preserve">total prescribed LARCs </w:t>
      </w:r>
      <w:r w:rsidR="27CB89AB" w:rsidRPr="008D6AC4">
        <w:rPr>
          <w:rFonts w:ascii="Verdana" w:hAnsi="Verdana"/>
          <w:b/>
          <w:bCs/>
          <w:sz w:val="22"/>
          <w:szCs w:val="22"/>
        </w:rPr>
        <w:t>in Kent and England</w:t>
      </w:r>
      <w:r w:rsidR="49A80104" w:rsidRPr="008D6AC4">
        <w:rPr>
          <w:rFonts w:ascii="Verdana" w:hAnsi="Verdana"/>
          <w:b/>
          <w:bCs/>
          <w:sz w:val="22"/>
          <w:szCs w:val="22"/>
        </w:rPr>
        <w:t xml:space="preserve">, 2014 to </w:t>
      </w:r>
      <w:r w:rsidR="0F566BDF" w:rsidRPr="008D6AC4">
        <w:rPr>
          <w:rFonts w:ascii="Verdana" w:hAnsi="Verdana"/>
          <w:b/>
          <w:bCs/>
          <w:sz w:val="22"/>
          <w:szCs w:val="22"/>
        </w:rPr>
        <w:t>2022</w:t>
      </w:r>
    </w:p>
    <w:p w14:paraId="317FC903" w14:textId="39EB9D7D" w:rsidR="00B21566" w:rsidRPr="008D6AC4" w:rsidRDefault="00B21566" w:rsidP="0011787F">
      <w:pPr>
        <w:rPr>
          <w:rFonts w:ascii="Verdana" w:hAnsi="Verdana"/>
          <w:b/>
          <w:bCs/>
          <w:sz w:val="22"/>
          <w:szCs w:val="22"/>
        </w:rPr>
      </w:pPr>
      <w:r w:rsidRPr="008D6AC4">
        <w:rPr>
          <w:rFonts w:ascii="Verdana" w:hAnsi="Verdana"/>
          <w:noProof/>
        </w:rPr>
        <w:drawing>
          <wp:inline distT="0" distB="0" distL="0" distR="0" wp14:anchorId="1F05999B" wp14:editId="3AC66B23">
            <wp:extent cx="5537200" cy="4159250"/>
            <wp:effectExtent l="0" t="0" r="6350" b="0"/>
            <wp:docPr id="1404697756" name="Chart 1" descr="A graph showing the rate of prescribed LARCs excluding injections between 2014 to 2022 in England and Kent. Over time the rate of prescribed LARCs has decreased but rates in Kent are slightly higher than England.">
              <a:extLst xmlns:a="http://schemas.openxmlformats.org/drawingml/2006/main">
                <a:ext uri="{FF2B5EF4-FFF2-40B4-BE49-F238E27FC236}">
                  <a16:creationId xmlns:a16="http://schemas.microsoft.com/office/drawing/2014/main" id="{3554E509-A5B6-9737-E719-24962F5D76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3D4C707" w14:textId="77777777" w:rsidR="0011787F" w:rsidRPr="008D6AC4" w:rsidRDefault="23CED170" w:rsidP="7FF55879">
      <w:pPr>
        <w:jc w:val="both"/>
        <w:rPr>
          <w:rFonts w:ascii="Verdana" w:hAnsi="Verdana"/>
          <w:sz w:val="22"/>
          <w:szCs w:val="22"/>
        </w:rPr>
      </w:pPr>
      <w:r w:rsidRPr="008D6AC4">
        <w:rPr>
          <w:rFonts w:ascii="Verdana" w:hAnsi="Verdana"/>
          <w:sz w:val="22"/>
          <w:szCs w:val="22"/>
        </w:rPr>
        <w:t xml:space="preserve">The survey of GPs in 2022 found that trends in use of LARC were polarised with some GP practices seeing an increase and others a decrease. </w:t>
      </w:r>
    </w:p>
    <w:p w14:paraId="74E433B4" w14:textId="77777777" w:rsidR="0011787F" w:rsidRPr="008D6AC4" w:rsidRDefault="0011787F" w:rsidP="0011787F">
      <w:pPr>
        <w:jc w:val="both"/>
        <w:rPr>
          <w:rFonts w:ascii="Verdana" w:hAnsi="Verdana"/>
          <w:sz w:val="22"/>
          <w:szCs w:val="22"/>
        </w:rPr>
      </w:pPr>
      <w:r w:rsidRPr="008D6AC4">
        <w:rPr>
          <w:rFonts w:ascii="Verdana" w:hAnsi="Verdana"/>
          <w:sz w:val="22"/>
          <w:szCs w:val="22"/>
        </w:rPr>
        <w:t>There is no information available on views of service users or patient insights data. The service is not actively promoted on the KCC website or via social media. It is most often promoted via ‘word of mouth’ during GP consultations or via attendance at ISH clinics.</w:t>
      </w:r>
    </w:p>
    <w:p w14:paraId="71A075BA" w14:textId="77777777" w:rsidR="0011787F" w:rsidRPr="008D6AC4" w:rsidRDefault="0011787F" w:rsidP="0011787F">
      <w:pPr>
        <w:jc w:val="both"/>
        <w:rPr>
          <w:rFonts w:ascii="Verdana" w:hAnsi="Verdana"/>
          <w:color w:val="000000" w:themeColor="text1"/>
          <w:sz w:val="22"/>
          <w:szCs w:val="22"/>
        </w:rPr>
      </w:pPr>
      <w:r w:rsidRPr="008D6AC4">
        <w:rPr>
          <w:rFonts w:ascii="Verdana" w:hAnsi="Verdana"/>
          <w:color w:val="000000" w:themeColor="text1"/>
          <w:sz w:val="22"/>
          <w:szCs w:val="22"/>
        </w:rPr>
        <w:t>Alternatives to contracting GP practices individually include contracting with a PCN to provide LARC for the GPs in their network, or with GP Federations who could manage delivery within an area on KCC’s behalf. This could reduce administrative and commissioning staff resources. The service could also be included in the ISH service commissioning, with sub-contracting to the GP practices by KCHFT and MTW.</w:t>
      </w:r>
    </w:p>
    <w:p w14:paraId="33D14BCB" w14:textId="77777777" w:rsidR="0011787F" w:rsidRPr="008D6AC4" w:rsidRDefault="0011787F" w:rsidP="0011787F">
      <w:pPr>
        <w:jc w:val="both"/>
        <w:rPr>
          <w:rFonts w:ascii="Verdana" w:hAnsi="Verdana"/>
          <w:color w:val="000000" w:themeColor="text1"/>
          <w:sz w:val="22"/>
          <w:szCs w:val="22"/>
        </w:rPr>
      </w:pPr>
      <w:r w:rsidRPr="008D6AC4">
        <w:rPr>
          <w:rFonts w:ascii="Verdana" w:hAnsi="Verdana"/>
          <w:color w:val="000000" w:themeColor="text1"/>
          <w:sz w:val="22"/>
          <w:szCs w:val="22"/>
        </w:rPr>
        <w:t xml:space="preserve">There have been anecdotal mixed views on whether the tariffs provided for LARC procedures are substantial. A UKHSA conducted survey that benchmarked the costs of LARC in different areas found that Kent pays higher than the market average in the South East for three out of the four LARC procedures on offer. </w:t>
      </w:r>
    </w:p>
    <w:p w14:paraId="7F5581E2" w14:textId="77777777" w:rsidR="0011787F" w:rsidRPr="008D6AC4" w:rsidRDefault="0011787F" w:rsidP="0011787F">
      <w:pPr>
        <w:jc w:val="both"/>
        <w:rPr>
          <w:rFonts w:ascii="Verdana" w:hAnsi="Verdana"/>
          <w:color w:val="000000" w:themeColor="text1"/>
          <w:sz w:val="22"/>
          <w:szCs w:val="22"/>
        </w:rPr>
      </w:pPr>
      <w:r w:rsidRPr="008D6AC4">
        <w:rPr>
          <w:rFonts w:ascii="Verdana" w:hAnsi="Verdana"/>
          <w:color w:val="000000" w:themeColor="text1"/>
          <w:sz w:val="22"/>
          <w:szCs w:val="22"/>
        </w:rPr>
        <w:t xml:space="preserve">However, the Local Medical Committee (LMC)’s cost analysis of the service found that a LARC fitting costs a GP practice more than double the actual payment </w:t>
      </w:r>
      <w:r w:rsidR="00EC57E7" w:rsidRPr="008D6AC4">
        <w:rPr>
          <w:rFonts w:ascii="Verdana" w:hAnsi="Verdana"/>
          <w:color w:val="000000" w:themeColor="text1"/>
          <w:sz w:val="22"/>
          <w:szCs w:val="22"/>
        </w:rPr>
        <w:t>received</w:t>
      </w:r>
      <w:r w:rsidRPr="008D6AC4">
        <w:rPr>
          <w:rFonts w:ascii="Verdana" w:hAnsi="Verdana"/>
          <w:color w:val="000000" w:themeColor="text1"/>
          <w:sz w:val="22"/>
          <w:szCs w:val="22"/>
        </w:rPr>
        <w:t xml:space="preserve">. A cost modelling exercise by Organon found different costs to the </w:t>
      </w:r>
      <w:r w:rsidRPr="008D6AC4">
        <w:rPr>
          <w:rFonts w:ascii="Verdana" w:hAnsi="Verdana"/>
          <w:color w:val="000000" w:themeColor="text1"/>
          <w:sz w:val="22"/>
          <w:szCs w:val="22"/>
        </w:rPr>
        <w:lastRenderedPageBreak/>
        <w:t>LMC’s cost analysis, but more understanding of how the modelling was performed is required. Cost modelling with a GP practice in Maidstone found that if a GP was providing the procedure, costs were higher than KCC pays in three out of the four LARC procedures. However, for nurse-led procedure it cost less than the value KCC pays for three out of the four procedures, suggesting financial benefits of a nurse-led model. Different tariff structures are also utilised in other Local Authorities whereby the payment cost is different for a combined insertion and removal during one consultation, instead of two separate costs for each procedure. Some also provide a payment when an IUD is fitted for emergency contraception.</w:t>
      </w:r>
    </w:p>
    <w:p w14:paraId="0E64C4D3" w14:textId="77777777" w:rsidR="0011787F" w:rsidRPr="008D6AC4" w:rsidRDefault="0011787F" w:rsidP="00E22D72">
      <w:pPr>
        <w:jc w:val="both"/>
        <w:rPr>
          <w:rFonts w:ascii="Verdana" w:hAnsi="Verdana"/>
          <w:color w:val="000000" w:themeColor="text1"/>
          <w:sz w:val="22"/>
          <w:szCs w:val="22"/>
        </w:rPr>
      </w:pPr>
      <w:r w:rsidRPr="008D6AC4">
        <w:rPr>
          <w:rFonts w:ascii="Verdana" w:hAnsi="Verdana"/>
          <w:color w:val="000000" w:themeColor="text1"/>
          <w:sz w:val="22"/>
          <w:szCs w:val="22"/>
        </w:rPr>
        <w:t xml:space="preserve">Women’s Health Hubs (WHH) are anticipated to be launched in Kent by late 2024. KCC has been working with the ICB who </w:t>
      </w:r>
      <w:bookmarkStart w:id="67" w:name="_Int_5wmO2cid"/>
      <w:r w:rsidRPr="008D6AC4">
        <w:rPr>
          <w:rFonts w:ascii="Verdana" w:hAnsi="Verdana"/>
          <w:color w:val="000000" w:themeColor="text1"/>
          <w:sz w:val="22"/>
          <w:szCs w:val="22"/>
        </w:rPr>
        <w:t>are the lead for this work</w:t>
      </w:r>
      <w:bookmarkEnd w:id="67"/>
      <w:r w:rsidRPr="008D6AC4">
        <w:rPr>
          <w:rFonts w:ascii="Verdana" w:hAnsi="Verdana"/>
          <w:color w:val="000000" w:themeColor="text1"/>
          <w:sz w:val="22"/>
          <w:szCs w:val="22"/>
        </w:rPr>
        <w:t xml:space="preserve">, to support with the initiation of the first hubs. This is likely to increase awareness and demand for LARC, which will require monitoring of the situation from both a budget and waiting time perspective. KCC aims to work with WHH, GPs, and ISHS to understand the impact of the implementation over the course of 2025. </w:t>
      </w:r>
    </w:p>
    <w:p w14:paraId="4ADF80BC" w14:textId="77777777" w:rsidR="0011787F" w:rsidRPr="0089791B" w:rsidRDefault="469A6690" w:rsidP="136F3BEB">
      <w:pPr>
        <w:pStyle w:val="Heading2"/>
        <w:numPr>
          <w:ilvl w:val="0"/>
          <w:numId w:val="0"/>
        </w:numPr>
        <w:rPr>
          <w:rFonts w:ascii="Verdana" w:hAnsi="Verdana" w:cstheme="minorBidi"/>
          <w:sz w:val="22"/>
          <w:szCs w:val="22"/>
        </w:rPr>
      </w:pPr>
      <w:bookmarkStart w:id="68" w:name="_Toc1231046910"/>
      <w:r w:rsidRPr="136F3BEB">
        <w:rPr>
          <w:rFonts w:ascii="Verdana" w:hAnsi="Verdana"/>
          <w:sz w:val="22"/>
          <w:szCs w:val="22"/>
        </w:rPr>
        <w:t xml:space="preserve">5.7.1 </w:t>
      </w:r>
      <w:r w:rsidR="2445C4E4" w:rsidRPr="136F3BEB">
        <w:rPr>
          <w:rFonts w:ascii="Verdana" w:hAnsi="Verdana" w:cstheme="minorBidi"/>
          <w:sz w:val="22"/>
          <w:szCs w:val="22"/>
        </w:rPr>
        <w:t>Strengths of the LARC Services</w:t>
      </w:r>
      <w:bookmarkEnd w:id="68"/>
    </w:p>
    <w:p w14:paraId="7B5A7AF8" w14:textId="77777777" w:rsidR="0011787F" w:rsidRPr="008D6AC4" w:rsidRDefault="0011787F" w:rsidP="00F8351F">
      <w:pPr>
        <w:pStyle w:val="ListParagraph"/>
        <w:numPr>
          <w:ilvl w:val="0"/>
          <w:numId w:val="18"/>
        </w:numPr>
        <w:spacing w:before="0" w:after="160" w:line="259" w:lineRule="auto"/>
        <w:rPr>
          <w:rFonts w:ascii="Verdana" w:hAnsi="Verdana"/>
          <w:color w:val="000000" w:themeColor="text1"/>
          <w:sz w:val="22"/>
          <w:szCs w:val="22"/>
        </w:rPr>
      </w:pPr>
      <w:r w:rsidRPr="008D6AC4">
        <w:rPr>
          <w:rFonts w:ascii="Verdana" w:hAnsi="Verdana"/>
          <w:color w:val="000000" w:themeColor="text1"/>
          <w:sz w:val="22"/>
          <w:szCs w:val="22"/>
        </w:rPr>
        <w:t>Placement of services to insert/remove LARC devices within GP practices increases accessibility, minimising the need for the patient to travel</w:t>
      </w:r>
      <w:r w:rsidR="007F2B0C" w:rsidRPr="008D6AC4">
        <w:rPr>
          <w:rFonts w:ascii="Verdana" w:hAnsi="Verdana"/>
          <w:color w:val="000000" w:themeColor="text1"/>
          <w:sz w:val="22"/>
          <w:szCs w:val="22"/>
        </w:rPr>
        <w:t>.</w:t>
      </w:r>
    </w:p>
    <w:p w14:paraId="592C71A8" w14:textId="77777777" w:rsidR="0011787F" w:rsidRPr="0089791B" w:rsidRDefault="6F3C6A21" w:rsidP="136F3BEB">
      <w:pPr>
        <w:pStyle w:val="Heading2"/>
        <w:numPr>
          <w:ilvl w:val="0"/>
          <w:numId w:val="0"/>
        </w:numPr>
        <w:rPr>
          <w:rFonts w:ascii="Verdana" w:hAnsi="Verdana" w:cstheme="minorBidi"/>
          <w:sz w:val="22"/>
          <w:szCs w:val="22"/>
        </w:rPr>
      </w:pPr>
      <w:bookmarkStart w:id="69" w:name="_Toc477299483"/>
      <w:r w:rsidRPr="136F3BEB">
        <w:rPr>
          <w:rFonts w:ascii="Verdana" w:hAnsi="Verdana"/>
          <w:sz w:val="22"/>
          <w:szCs w:val="22"/>
        </w:rPr>
        <w:t xml:space="preserve">5.7.2 </w:t>
      </w:r>
      <w:r w:rsidR="2445C4E4" w:rsidRPr="136F3BEB">
        <w:rPr>
          <w:rFonts w:ascii="Verdana" w:hAnsi="Verdana" w:cstheme="minorBidi"/>
          <w:sz w:val="22"/>
          <w:szCs w:val="22"/>
        </w:rPr>
        <w:t>Possible Transformation Recommendations</w:t>
      </w:r>
      <w:bookmarkEnd w:id="69"/>
    </w:p>
    <w:p w14:paraId="191113B9" w14:textId="77777777" w:rsidR="0011787F" w:rsidRPr="008D6AC4" w:rsidRDefault="3511E4D1" w:rsidP="00F8351F">
      <w:pPr>
        <w:pStyle w:val="ListParagraph"/>
        <w:numPr>
          <w:ilvl w:val="0"/>
          <w:numId w:val="19"/>
        </w:numPr>
        <w:spacing w:before="0" w:after="160"/>
        <w:rPr>
          <w:rFonts w:ascii="Verdana" w:hAnsi="Verdana"/>
          <w:sz w:val="22"/>
          <w:szCs w:val="22"/>
        </w:rPr>
      </w:pPr>
      <w:r w:rsidRPr="008D6AC4">
        <w:rPr>
          <w:rFonts w:ascii="Verdana" w:hAnsi="Verdana"/>
          <w:sz w:val="22"/>
          <w:szCs w:val="22"/>
        </w:rPr>
        <w:t>Currently t</w:t>
      </w:r>
      <w:r w:rsidR="6B0FBA72" w:rsidRPr="008D6AC4">
        <w:rPr>
          <w:rFonts w:ascii="Verdana" w:hAnsi="Verdana"/>
          <w:sz w:val="22"/>
          <w:szCs w:val="22"/>
        </w:rPr>
        <w:t>wo commissioners for contraception and ICB for IUS devices for women – opportunity to align and streamline the contract management function</w:t>
      </w:r>
      <w:r w:rsidR="007F2B0C" w:rsidRPr="008D6AC4">
        <w:rPr>
          <w:rFonts w:ascii="Verdana" w:hAnsi="Verdana"/>
          <w:sz w:val="22"/>
          <w:szCs w:val="22"/>
        </w:rPr>
        <w:t>.</w:t>
      </w:r>
    </w:p>
    <w:p w14:paraId="3F2E63F1" w14:textId="77777777" w:rsidR="0011787F" w:rsidRPr="008D6AC4" w:rsidRDefault="0011787F" w:rsidP="00F8351F">
      <w:pPr>
        <w:pStyle w:val="ListParagraph"/>
        <w:numPr>
          <w:ilvl w:val="0"/>
          <w:numId w:val="19"/>
        </w:numPr>
        <w:spacing w:before="0" w:after="160"/>
        <w:rPr>
          <w:rFonts w:ascii="Verdana" w:eastAsia="Calibri" w:hAnsi="Verdana" w:cs="Calibri"/>
          <w:color w:val="000000" w:themeColor="text1"/>
          <w:sz w:val="22"/>
          <w:szCs w:val="22"/>
        </w:rPr>
      </w:pPr>
      <w:r w:rsidRPr="008D6AC4">
        <w:rPr>
          <w:rFonts w:ascii="Verdana" w:eastAsia="Calibri" w:hAnsi="Verdana" w:cs="Calibri"/>
          <w:color w:val="000000" w:themeColor="text1"/>
          <w:sz w:val="22"/>
          <w:szCs w:val="22"/>
        </w:rPr>
        <w:t>Clarity and action needed to ensure that appropriate coding is used when submitting claims for LARC procedures to KCC and the ICB</w:t>
      </w:r>
      <w:r w:rsidR="007F2B0C" w:rsidRPr="008D6AC4">
        <w:rPr>
          <w:rFonts w:ascii="Verdana" w:eastAsia="Calibri" w:hAnsi="Verdana" w:cs="Calibri"/>
          <w:color w:val="000000" w:themeColor="text1"/>
          <w:sz w:val="22"/>
          <w:szCs w:val="22"/>
        </w:rPr>
        <w:t>.</w:t>
      </w:r>
    </w:p>
    <w:p w14:paraId="71BCF62E" w14:textId="77777777" w:rsidR="0011787F" w:rsidRPr="008D6AC4" w:rsidRDefault="0011787F" w:rsidP="00F8351F">
      <w:pPr>
        <w:pStyle w:val="ListParagraph"/>
        <w:numPr>
          <w:ilvl w:val="0"/>
          <w:numId w:val="19"/>
        </w:numPr>
        <w:spacing w:before="0" w:after="160"/>
        <w:rPr>
          <w:rFonts w:ascii="Verdana" w:hAnsi="Verdana"/>
          <w:sz w:val="22"/>
          <w:szCs w:val="22"/>
        </w:rPr>
      </w:pPr>
      <w:r w:rsidRPr="008D6AC4">
        <w:rPr>
          <w:rFonts w:ascii="Verdana" w:hAnsi="Verdana"/>
          <w:sz w:val="22"/>
          <w:szCs w:val="22"/>
        </w:rPr>
        <w:t>Monitoring of impact of the implementation of Women’s Health hubs and ensure a system approach is applied where possible</w:t>
      </w:r>
      <w:r w:rsidR="007F2B0C" w:rsidRPr="008D6AC4">
        <w:rPr>
          <w:rFonts w:ascii="Verdana" w:hAnsi="Verdana"/>
          <w:sz w:val="22"/>
          <w:szCs w:val="22"/>
        </w:rPr>
        <w:t>.</w:t>
      </w:r>
    </w:p>
    <w:p w14:paraId="793D368C" w14:textId="77777777" w:rsidR="0011787F" w:rsidRPr="008D6AC4" w:rsidRDefault="0011787F" w:rsidP="00F8351F">
      <w:pPr>
        <w:pStyle w:val="ListParagraph"/>
        <w:numPr>
          <w:ilvl w:val="0"/>
          <w:numId w:val="19"/>
        </w:numPr>
        <w:spacing w:before="0" w:after="160"/>
        <w:rPr>
          <w:rFonts w:ascii="Verdana" w:hAnsi="Verdana"/>
          <w:sz w:val="22"/>
          <w:szCs w:val="22"/>
        </w:rPr>
      </w:pPr>
      <w:r w:rsidRPr="008D6AC4">
        <w:rPr>
          <w:rFonts w:ascii="Verdana" w:hAnsi="Verdana"/>
          <w:sz w:val="22"/>
          <w:szCs w:val="22"/>
        </w:rPr>
        <w:t>Patient insights – to understand why use of LARC is declining and if there are issues with access to the service, or a shift in sexual health attitudes including use of fem-tech and fertility awareness methods</w:t>
      </w:r>
      <w:r w:rsidR="007F2B0C" w:rsidRPr="008D6AC4">
        <w:rPr>
          <w:rFonts w:ascii="Verdana" w:hAnsi="Verdana"/>
          <w:sz w:val="22"/>
          <w:szCs w:val="22"/>
        </w:rPr>
        <w:t>.</w:t>
      </w:r>
    </w:p>
    <w:p w14:paraId="3C62922B" w14:textId="77777777" w:rsidR="0011787F" w:rsidRPr="008D6AC4" w:rsidRDefault="0011787F" w:rsidP="00F8351F">
      <w:pPr>
        <w:pStyle w:val="ListParagraph"/>
        <w:numPr>
          <w:ilvl w:val="0"/>
          <w:numId w:val="19"/>
        </w:numPr>
        <w:spacing w:before="0" w:after="160"/>
        <w:rPr>
          <w:rFonts w:ascii="Verdana" w:hAnsi="Verdana"/>
          <w:sz w:val="22"/>
          <w:szCs w:val="22"/>
        </w:rPr>
      </w:pPr>
      <w:r w:rsidRPr="008D6AC4">
        <w:rPr>
          <w:rFonts w:ascii="Verdana" w:hAnsi="Verdana"/>
          <w:sz w:val="22"/>
          <w:szCs w:val="22"/>
        </w:rPr>
        <w:t xml:space="preserve">Patient insights into ease of access alongside further analysis of the map of LARC providing GPs in the county to explore areas of low or distant access. </w:t>
      </w:r>
    </w:p>
    <w:p w14:paraId="2C8E5875" w14:textId="77777777" w:rsidR="009F2C10" w:rsidRPr="008D6AC4" w:rsidRDefault="0011787F" w:rsidP="00F8351F">
      <w:pPr>
        <w:pStyle w:val="ListParagraph"/>
        <w:numPr>
          <w:ilvl w:val="0"/>
          <w:numId w:val="19"/>
        </w:numPr>
        <w:spacing w:before="0" w:after="160"/>
        <w:rPr>
          <w:rFonts w:ascii="Verdana" w:hAnsi="Verdana"/>
          <w:sz w:val="22"/>
          <w:szCs w:val="22"/>
        </w:rPr>
      </w:pPr>
      <w:r w:rsidRPr="008D6AC4">
        <w:rPr>
          <w:rFonts w:ascii="Verdana" w:hAnsi="Verdana"/>
          <w:sz w:val="22"/>
          <w:szCs w:val="22"/>
        </w:rPr>
        <w:t>Deep dive review of LARC to be completed including, exploration of reduction in GP Practices offering LARC services, workforce development and training, and cost modelling</w:t>
      </w:r>
      <w:r w:rsidR="007F2B0C" w:rsidRPr="008D6AC4">
        <w:rPr>
          <w:rFonts w:ascii="Verdana" w:hAnsi="Verdana"/>
          <w:sz w:val="22"/>
          <w:szCs w:val="22"/>
        </w:rPr>
        <w:t>.</w:t>
      </w:r>
    </w:p>
    <w:p w14:paraId="6BE45C5D" w14:textId="77777777" w:rsidR="0011787F" w:rsidRPr="008D6AC4" w:rsidRDefault="253B37AC" w:rsidP="136F3BEB">
      <w:pPr>
        <w:pStyle w:val="Heading2"/>
        <w:numPr>
          <w:ilvl w:val="0"/>
          <w:numId w:val="0"/>
        </w:numPr>
        <w:rPr>
          <w:rFonts w:ascii="Verdana" w:eastAsiaTheme="minorEastAsia" w:hAnsi="Verdana" w:cstheme="minorBidi"/>
          <w:sz w:val="24"/>
          <w:szCs w:val="24"/>
        </w:rPr>
      </w:pPr>
      <w:bookmarkStart w:id="70" w:name="_Toc1617672479"/>
      <w:r w:rsidRPr="136F3BEB">
        <w:rPr>
          <w:rFonts w:ascii="Verdana" w:eastAsiaTheme="minorEastAsia" w:hAnsi="Verdana" w:cstheme="minorBidi"/>
          <w:sz w:val="24"/>
          <w:szCs w:val="24"/>
        </w:rPr>
        <w:t xml:space="preserve">5.8 </w:t>
      </w:r>
      <w:r w:rsidR="2445C4E4" w:rsidRPr="136F3BEB">
        <w:rPr>
          <w:rFonts w:ascii="Verdana" w:eastAsiaTheme="minorEastAsia" w:hAnsi="Verdana" w:cstheme="minorBidi"/>
          <w:sz w:val="24"/>
          <w:szCs w:val="24"/>
        </w:rPr>
        <w:t>Out of Area</w:t>
      </w:r>
      <w:bookmarkEnd w:id="70"/>
    </w:p>
    <w:p w14:paraId="32B85026" w14:textId="77777777" w:rsidR="0011787F" w:rsidRPr="008D6AC4" w:rsidRDefault="6B0FBA72" w:rsidP="4A0F6D8A">
      <w:pPr>
        <w:rPr>
          <w:rFonts w:ascii="Verdana" w:hAnsi="Verdana"/>
          <w:sz w:val="22"/>
          <w:szCs w:val="22"/>
        </w:rPr>
      </w:pPr>
      <w:r w:rsidRPr="008D6AC4">
        <w:rPr>
          <w:rFonts w:ascii="Verdana" w:hAnsi="Verdana"/>
          <w:sz w:val="22"/>
          <w:szCs w:val="22"/>
        </w:rPr>
        <w:t xml:space="preserve">Sexual health services are open access in England, meaning that if a Kent resident accesses services out of area it will be paid for by KCC. </w:t>
      </w:r>
    </w:p>
    <w:p w14:paraId="63E79F17" w14:textId="77777777" w:rsidR="0011787F" w:rsidRPr="0089791B" w:rsidRDefault="5ECE831A" w:rsidP="136F3BEB">
      <w:pPr>
        <w:pStyle w:val="Heading2"/>
        <w:numPr>
          <w:ilvl w:val="0"/>
          <w:numId w:val="0"/>
        </w:numPr>
        <w:rPr>
          <w:rFonts w:ascii="Verdana" w:hAnsi="Verdana" w:cstheme="minorBidi"/>
          <w:sz w:val="22"/>
          <w:szCs w:val="22"/>
        </w:rPr>
      </w:pPr>
      <w:bookmarkStart w:id="71" w:name="_Toc1917965805"/>
      <w:r w:rsidRPr="136F3BEB">
        <w:rPr>
          <w:rFonts w:ascii="Verdana" w:hAnsi="Verdana"/>
          <w:sz w:val="22"/>
          <w:szCs w:val="22"/>
        </w:rPr>
        <w:lastRenderedPageBreak/>
        <w:t xml:space="preserve">5.8.1 </w:t>
      </w:r>
      <w:r w:rsidR="2445C4E4" w:rsidRPr="136F3BEB">
        <w:rPr>
          <w:rFonts w:ascii="Verdana" w:hAnsi="Verdana" w:cstheme="minorBidi"/>
          <w:sz w:val="22"/>
          <w:szCs w:val="22"/>
        </w:rPr>
        <w:t>Possible Transformation Recommendations</w:t>
      </w:r>
      <w:bookmarkEnd w:id="71"/>
    </w:p>
    <w:p w14:paraId="47CF14AA" w14:textId="77777777" w:rsidR="754A595A" w:rsidRPr="008D6AC4" w:rsidRDefault="754A595A" w:rsidP="00F8351F">
      <w:pPr>
        <w:pStyle w:val="ListParagraph"/>
        <w:numPr>
          <w:ilvl w:val="0"/>
          <w:numId w:val="20"/>
        </w:numPr>
        <w:spacing w:before="0" w:after="160" w:line="259" w:lineRule="auto"/>
        <w:rPr>
          <w:rFonts w:ascii="Verdana" w:hAnsi="Verdana"/>
          <w:sz w:val="22"/>
          <w:szCs w:val="22"/>
        </w:rPr>
      </w:pPr>
      <w:r w:rsidRPr="008D6AC4">
        <w:rPr>
          <w:rFonts w:ascii="Verdana" w:hAnsi="Verdana"/>
          <w:sz w:val="22"/>
          <w:szCs w:val="22"/>
        </w:rPr>
        <w:t>Review of</w:t>
      </w:r>
      <w:r w:rsidR="61DBCD21" w:rsidRPr="008D6AC4">
        <w:rPr>
          <w:rFonts w:ascii="Verdana" w:hAnsi="Verdana"/>
          <w:sz w:val="22"/>
          <w:szCs w:val="22"/>
        </w:rPr>
        <w:t xml:space="preserve"> the</w:t>
      </w:r>
      <w:r w:rsidRPr="008D6AC4">
        <w:rPr>
          <w:rFonts w:ascii="Verdana" w:hAnsi="Verdana"/>
          <w:sz w:val="22"/>
          <w:szCs w:val="22"/>
        </w:rPr>
        <w:t xml:space="preserve"> use of sexual health services out of area by Kent residents, along with understanding use of Kent services by out of area residents. </w:t>
      </w:r>
      <w:r w:rsidR="492393DE" w:rsidRPr="008D6AC4">
        <w:rPr>
          <w:rFonts w:ascii="Verdana" w:hAnsi="Verdana"/>
          <w:sz w:val="22"/>
          <w:szCs w:val="22"/>
        </w:rPr>
        <w:t>This is to</w:t>
      </w:r>
      <w:r w:rsidRPr="008D6AC4">
        <w:rPr>
          <w:rFonts w:ascii="Verdana" w:hAnsi="Verdana"/>
          <w:sz w:val="22"/>
          <w:szCs w:val="22"/>
        </w:rPr>
        <w:t xml:space="preserve"> identify why people may access services out of area </w:t>
      </w:r>
      <w:r w:rsidR="293F4E1A" w:rsidRPr="008D6AC4">
        <w:rPr>
          <w:rFonts w:ascii="Verdana" w:hAnsi="Verdana"/>
          <w:sz w:val="22"/>
          <w:szCs w:val="22"/>
        </w:rPr>
        <w:t>and what measures can be put in place to reduce this.</w:t>
      </w:r>
    </w:p>
    <w:p w14:paraId="6E589965" w14:textId="77777777" w:rsidR="009F2C10" w:rsidRPr="008D6AC4" w:rsidRDefault="6B0FBA72" w:rsidP="00F8351F">
      <w:pPr>
        <w:pStyle w:val="ListParagraph"/>
        <w:numPr>
          <w:ilvl w:val="0"/>
          <w:numId w:val="20"/>
        </w:numPr>
        <w:spacing w:before="0" w:after="160" w:line="259" w:lineRule="auto"/>
        <w:rPr>
          <w:rFonts w:ascii="Verdana" w:hAnsi="Verdana"/>
          <w:sz w:val="22"/>
          <w:szCs w:val="22"/>
        </w:rPr>
      </w:pPr>
      <w:r w:rsidRPr="008D6AC4">
        <w:rPr>
          <w:rFonts w:ascii="Verdana" w:hAnsi="Verdana"/>
          <w:sz w:val="22"/>
          <w:szCs w:val="22"/>
        </w:rPr>
        <w:t>Review of budget and spend for out of area services</w:t>
      </w:r>
      <w:r w:rsidR="007F2B0C" w:rsidRPr="008D6AC4">
        <w:rPr>
          <w:rFonts w:ascii="Verdana" w:hAnsi="Verdana"/>
          <w:sz w:val="22"/>
          <w:szCs w:val="22"/>
        </w:rPr>
        <w:t>.</w:t>
      </w:r>
    </w:p>
    <w:p w14:paraId="58019726" w14:textId="77777777" w:rsidR="00B8147E" w:rsidRPr="008D6AC4" w:rsidRDefault="42194D27" w:rsidP="136F3BEB">
      <w:pPr>
        <w:pStyle w:val="Heading2"/>
        <w:numPr>
          <w:ilvl w:val="0"/>
          <w:numId w:val="0"/>
        </w:numPr>
        <w:rPr>
          <w:rFonts w:ascii="Verdana" w:eastAsiaTheme="minorEastAsia" w:hAnsi="Verdana" w:cstheme="minorBidi"/>
          <w:sz w:val="24"/>
          <w:szCs w:val="24"/>
        </w:rPr>
      </w:pPr>
      <w:bookmarkStart w:id="72" w:name="_Toc1231755506"/>
      <w:r w:rsidRPr="136F3BEB">
        <w:rPr>
          <w:rFonts w:ascii="Verdana" w:eastAsiaTheme="minorEastAsia" w:hAnsi="Verdana" w:cstheme="minorBidi"/>
          <w:sz w:val="24"/>
          <w:szCs w:val="24"/>
        </w:rPr>
        <w:t xml:space="preserve">5.9 </w:t>
      </w:r>
      <w:r w:rsidR="2ED98071" w:rsidRPr="136F3BEB">
        <w:rPr>
          <w:rFonts w:ascii="Verdana" w:eastAsiaTheme="minorEastAsia" w:hAnsi="Verdana" w:cstheme="minorBidi"/>
          <w:sz w:val="24"/>
          <w:szCs w:val="24"/>
        </w:rPr>
        <w:t>General Transformation Recommendations Applying to All Sexual Health Services</w:t>
      </w:r>
      <w:bookmarkEnd w:id="72"/>
    </w:p>
    <w:p w14:paraId="50107687" w14:textId="77777777" w:rsidR="00B8147E" w:rsidRPr="008D6AC4" w:rsidRDefault="26AA3103" w:rsidP="00F8351F">
      <w:pPr>
        <w:pStyle w:val="ListParagraph"/>
        <w:numPr>
          <w:ilvl w:val="0"/>
          <w:numId w:val="21"/>
        </w:numPr>
        <w:spacing w:before="0" w:after="160" w:line="259" w:lineRule="auto"/>
        <w:rPr>
          <w:rFonts w:ascii="Verdana" w:hAnsi="Verdana"/>
          <w:sz w:val="22"/>
          <w:szCs w:val="22"/>
        </w:rPr>
      </w:pPr>
      <w:r w:rsidRPr="008D6AC4">
        <w:rPr>
          <w:rFonts w:ascii="Verdana" w:hAnsi="Verdana"/>
          <w:sz w:val="22"/>
          <w:szCs w:val="22"/>
        </w:rPr>
        <w:t>KPIs currently activity focused and needs to be more outcome focussed</w:t>
      </w:r>
      <w:r w:rsidR="007F2B0C" w:rsidRPr="008D6AC4">
        <w:rPr>
          <w:rFonts w:ascii="Verdana" w:hAnsi="Verdana"/>
          <w:sz w:val="22"/>
          <w:szCs w:val="22"/>
        </w:rPr>
        <w:t>.</w:t>
      </w:r>
    </w:p>
    <w:p w14:paraId="229FFE33" w14:textId="77777777" w:rsidR="004E044D" w:rsidRDefault="004E044D">
      <w:pPr>
        <w:spacing w:before="0" w:after="200"/>
        <w:rPr>
          <w:rFonts w:ascii="Verdana" w:hAnsi="Verdana"/>
          <w:b/>
          <w:bCs/>
          <w:color w:val="2D7C82"/>
          <w:sz w:val="28"/>
          <w:szCs w:val="28"/>
        </w:rPr>
      </w:pPr>
      <w:r w:rsidRPr="136F3BEB">
        <w:rPr>
          <w:rFonts w:ascii="Verdana" w:hAnsi="Verdana"/>
          <w:color w:val="2D7C82"/>
          <w:sz w:val="28"/>
          <w:szCs w:val="28"/>
        </w:rPr>
        <w:br w:type="page"/>
      </w:r>
    </w:p>
    <w:p w14:paraId="6EE7A63E" w14:textId="77777777" w:rsidR="009F2C10" w:rsidRPr="008D6AC4" w:rsidRDefault="338C37AB" w:rsidP="136F3BEB">
      <w:pPr>
        <w:pStyle w:val="Heading1"/>
        <w:numPr>
          <w:ilvl w:val="0"/>
          <w:numId w:val="0"/>
        </w:numPr>
        <w:rPr>
          <w:rFonts w:ascii="Verdana" w:eastAsiaTheme="minorEastAsia" w:hAnsi="Verdana"/>
          <w:color w:val="2D7C82"/>
          <w:sz w:val="28"/>
          <w:szCs w:val="28"/>
        </w:rPr>
      </w:pPr>
      <w:bookmarkStart w:id="73" w:name="_Toc810169679"/>
      <w:r w:rsidRPr="136F3BEB">
        <w:rPr>
          <w:rFonts w:ascii="Verdana" w:eastAsiaTheme="minorEastAsia" w:hAnsi="Verdana"/>
          <w:color w:val="2D7C82"/>
          <w:sz w:val="28"/>
          <w:szCs w:val="28"/>
        </w:rPr>
        <w:lastRenderedPageBreak/>
        <w:t>6</w:t>
      </w:r>
      <w:r w:rsidR="4B4D99CD" w:rsidRPr="136F3BEB">
        <w:rPr>
          <w:rFonts w:ascii="Verdana" w:eastAsiaTheme="minorEastAsia" w:hAnsi="Verdana"/>
          <w:color w:val="2D7C82"/>
          <w:sz w:val="28"/>
          <w:szCs w:val="28"/>
        </w:rPr>
        <w:t>.</w:t>
      </w:r>
      <w:r w:rsidR="5CE33517">
        <w:tab/>
      </w:r>
      <w:r w:rsidRPr="136F3BEB">
        <w:rPr>
          <w:rFonts w:ascii="Verdana" w:eastAsiaTheme="minorEastAsia" w:hAnsi="Verdana"/>
          <w:color w:val="2D7C82"/>
          <w:sz w:val="28"/>
          <w:szCs w:val="28"/>
        </w:rPr>
        <w:t>NICE Quality Standards for Sexual Health</w:t>
      </w:r>
      <w:bookmarkEnd w:id="73"/>
    </w:p>
    <w:p w14:paraId="47E18FCF" w14:textId="77777777" w:rsidR="009F2C10" w:rsidRPr="004E044D" w:rsidRDefault="0C01D512" w:rsidP="00F8351F">
      <w:pPr>
        <w:pStyle w:val="ListParagraph"/>
        <w:numPr>
          <w:ilvl w:val="0"/>
          <w:numId w:val="31"/>
        </w:numPr>
        <w:shd w:val="clear" w:color="auto" w:fill="FFFFFF" w:themeFill="background1"/>
        <w:spacing w:before="0" w:after="240"/>
        <w:rPr>
          <w:rFonts w:ascii="Verdana" w:eastAsia="Verdana" w:hAnsi="Verdana" w:cs="Verdana"/>
          <w:color w:val="0E0E0E"/>
          <w:sz w:val="22"/>
          <w:szCs w:val="22"/>
        </w:rPr>
      </w:pPr>
      <w:hyperlink r:id="rId36" w:anchor="quality-statement-1-asking-people-about-their-sexual-history" w:history="1">
        <w:r w:rsidRPr="0089791B">
          <w:rPr>
            <w:rStyle w:val="Hyperlink"/>
            <w:rFonts w:ascii="Verdana" w:eastAsia="Roboto" w:hAnsi="Verdana" w:cs="Roboto"/>
            <w:sz w:val="22"/>
            <w:szCs w:val="22"/>
          </w:rPr>
          <w:t>Statement 1</w:t>
        </w:r>
      </w:hyperlink>
      <w:r w:rsidRPr="004E044D">
        <w:rPr>
          <w:rFonts w:ascii="Verdana" w:eastAsia="Verdana" w:hAnsi="Verdana" w:cs="Verdana"/>
          <w:color w:val="0E0E0E"/>
          <w:sz w:val="22"/>
          <w:szCs w:val="22"/>
        </w:rPr>
        <w:t xml:space="preserve"> People are asked about their sexual history at key points of contact.</w:t>
      </w:r>
    </w:p>
    <w:p w14:paraId="3356D8A2" w14:textId="77777777" w:rsidR="009F2C10" w:rsidRPr="004E044D" w:rsidRDefault="0C01D512" w:rsidP="00F8351F">
      <w:pPr>
        <w:pStyle w:val="ListParagraph"/>
        <w:numPr>
          <w:ilvl w:val="0"/>
          <w:numId w:val="31"/>
        </w:numPr>
        <w:shd w:val="clear" w:color="auto" w:fill="FFFFFF" w:themeFill="background1"/>
        <w:spacing w:before="0" w:after="240"/>
        <w:rPr>
          <w:rFonts w:ascii="Verdana" w:eastAsia="Verdana" w:hAnsi="Verdana" w:cs="Verdana"/>
          <w:color w:val="0E0E0E"/>
          <w:sz w:val="22"/>
          <w:szCs w:val="22"/>
        </w:rPr>
      </w:pPr>
      <w:hyperlink r:id="rId37" w:anchor="quality-statement-2-discussing-prevention-and-testing-with-people-who-are-at-risk-of-sexually" w:history="1">
        <w:r w:rsidRPr="0089791B">
          <w:rPr>
            <w:rStyle w:val="Hyperlink"/>
            <w:rFonts w:ascii="Verdana" w:eastAsia="Roboto" w:hAnsi="Verdana" w:cs="Roboto"/>
            <w:sz w:val="22"/>
            <w:szCs w:val="22"/>
          </w:rPr>
          <w:t>Statement 2</w:t>
        </w:r>
      </w:hyperlink>
      <w:r w:rsidRPr="004E044D">
        <w:rPr>
          <w:rFonts w:ascii="Verdana" w:eastAsia="Verdana" w:hAnsi="Verdana" w:cs="Verdana"/>
          <w:color w:val="0E0E0E"/>
          <w:sz w:val="22"/>
          <w:szCs w:val="22"/>
        </w:rPr>
        <w:t xml:space="preserve"> People identified as being at risk of sexually transmitted infections have a discussion about prevention and testing.</w:t>
      </w:r>
    </w:p>
    <w:p w14:paraId="25C18FED" w14:textId="77777777" w:rsidR="009F2C10" w:rsidRPr="004E044D" w:rsidRDefault="0C01D512" w:rsidP="00F8351F">
      <w:pPr>
        <w:pStyle w:val="ListParagraph"/>
        <w:numPr>
          <w:ilvl w:val="0"/>
          <w:numId w:val="31"/>
        </w:numPr>
        <w:shd w:val="clear" w:color="auto" w:fill="FFFFFF" w:themeFill="background1"/>
        <w:spacing w:before="0" w:after="240"/>
        <w:rPr>
          <w:rFonts w:ascii="Verdana" w:eastAsia="Verdana" w:hAnsi="Verdana" w:cs="Verdana"/>
          <w:color w:val="0E0E0E"/>
          <w:sz w:val="22"/>
          <w:szCs w:val="22"/>
        </w:rPr>
      </w:pPr>
      <w:hyperlink r:id="rId38" w:anchor="quality-statement-3-condom-distribution-schemes" w:history="1">
        <w:r w:rsidRPr="0089791B">
          <w:rPr>
            <w:rStyle w:val="Hyperlink"/>
            <w:rFonts w:ascii="Verdana" w:eastAsia="Roboto" w:hAnsi="Verdana" w:cs="Roboto"/>
            <w:sz w:val="22"/>
            <w:szCs w:val="22"/>
          </w:rPr>
          <w:t>Statement 3</w:t>
        </w:r>
      </w:hyperlink>
      <w:r w:rsidRPr="004E044D">
        <w:rPr>
          <w:rFonts w:ascii="Verdana" w:eastAsia="Verdana" w:hAnsi="Verdana" w:cs="Verdana"/>
          <w:color w:val="0E0E0E"/>
          <w:sz w:val="22"/>
          <w:szCs w:val="22"/>
        </w:rPr>
        <w:t xml:space="preserve"> Local authorities provide a range of condom distribution schemes tailored to the needs of their populations.</w:t>
      </w:r>
    </w:p>
    <w:p w14:paraId="0DBB3F1B" w14:textId="77777777" w:rsidR="009F2C10" w:rsidRPr="004E044D" w:rsidRDefault="0C01D512" w:rsidP="00F8351F">
      <w:pPr>
        <w:pStyle w:val="ListParagraph"/>
        <w:numPr>
          <w:ilvl w:val="0"/>
          <w:numId w:val="31"/>
        </w:numPr>
        <w:shd w:val="clear" w:color="auto" w:fill="FFFFFF" w:themeFill="background1"/>
        <w:spacing w:before="0" w:after="240"/>
        <w:rPr>
          <w:rFonts w:ascii="Verdana" w:eastAsia="Verdana" w:hAnsi="Verdana" w:cs="Verdana"/>
          <w:color w:val="0E0E0E"/>
          <w:sz w:val="22"/>
          <w:szCs w:val="22"/>
        </w:rPr>
      </w:pPr>
      <w:hyperlink r:id="rId39" w:anchor="quality-statement-4-access-to-sexual-health-services" w:history="1">
        <w:r w:rsidRPr="0089791B">
          <w:rPr>
            <w:rStyle w:val="Hyperlink"/>
            <w:rFonts w:ascii="Verdana" w:eastAsia="Roboto" w:hAnsi="Verdana" w:cs="Roboto"/>
            <w:sz w:val="22"/>
            <w:szCs w:val="22"/>
          </w:rPr>
          <w:t>Statement 4</w:t>
        </w:r>
      </w:hyperlink>
      <w:r w:rsidRPr="004E044D">
        <w:rPr>
          <w:rFonts w:ascii="Verdana" w:eastAsia="Verdana" w:hAnsi="Verdana" w:cs="Verdana"/>
          <w:color w:val="0E0E0E"/>
          <w:sz w:val="22"/>
          <w:szCs w:val="22"/>
        </w:rPr>
        <w:t xml:space="preserve"> People contacting a sexual health service about a sexually transmitted infection are offered an appointment that is within 2 working days.</w:t>
      </w:r>
    </w:p>
    <w:p w14:paraId="6370B7A3" w14:textId="77777777" w:rsidR="009F2C10" w:rsidRPr="004E044D" w:rsidRDefault="0C01D512" w:rsidP="00F8351F">
      <w:pPr>
        <w:pStyle w:val="ListParagraph"/>
        <w:numPr>
          <w:ilvl w:val="0"/>
          <w:numId w:val="31"/>
        </w:numPr>
        <w:shd w:val="clear" w:color="auto" w:fill="FFFFFF" w:themeFill="background1"/>
        <w:spacing w:before="0" w:after="240"/>
        <w:rPr>
          <w:rFonts w:ascii="Verdana" w:eastAsia="Verdana" w:hAnsi="Verdana" w:cs="Verdana"/>
          <w:color w:val="0E0E0E"/>
          <w:sz w:val="22"/>
          <w:szCs w:val="22"/>
        </w:rPr>
      </w:pPr>
      <w:hyperlink r:id="rId40" w:anchor="quality-statement-5-repeat-testing-for-sexually-transmitted-infections" w:history="1">
        <w:r w:rsidRPr="0089791B">
          <w:rPr>
            <w:rStyle w:val="Hyperlink"/>
            <w:rFonts w:ascii="Verdana" w:eastAsia="Roboto" w:hAnsi="Verdana" w:cs="Roboto"/>
            <w:sz w:val="22"/>
            <w:szCs w:val="22"/>
          </w:rPr>
          <w:t>Statement 5</w:t>
        </w:r>
      </w:hyperlink>
      <w:r w:rsidRPr="004E044D">
        <w:rPr>
          <w:rFonts w:ascii="Verdana" w:eastAsia="Verdana" w:hAnsi="Verdana" w:cs="Verdana"/>
          <w:color w:val="0E0E0E"/>
          <w:sz w:val="22"/>
          <w:szCs w:val="22"/>
        </w:rPr>
        <w:t xml:space="preserve"> Men who have sex with men have repeat testing every 3 months if they are at increased risk of sexually transmitted infections.</w:t>
      </w:r>
    </w:p>
    <w:p w14:paraId="7641D755" w14:textId="77777777" w:rsidR="009F2C10" w:rsidRPr="004E044D" w:rsidRDefault="0C01D512" w:rsidP="00F8351F">
      <w:pPr>
        <w:pStyle w:val="ListParagraph"/>
        <w:numPr>
          <w:ilvl w:val="0"/>
          <w:numId w:val="31"/>
        </w:numPr>
        <w:shd w:val="clear" w:color="auto" w:fill="FFFFFF" w:themeFill="background1"/>
        <w:spacing w:before="0" w:after="240"/>
        <w:rPr>
          <w:rFonts w:ascii="Verdana" w:eastAsia="Verdana" w:hAnsi="Verdana" w:cs="Verdana"/>
          <w:color w:val="0E0E0E"/>
          <w:sz w:val="22"/>
          <w:szCs w:val="22"/>
        </w:rPr>
      </w:pPr>
      <w:hyperlink r:id="rId41" w:anchor="quality-statement-6-partner-notification" w:history="1">
        <w:r w:rsidRPr="0089791B">
          <w:rPr>
            <w:rStyle w:val="Hyperlink"/>
            <w:rFonts w:ascii="Verdana" w:eastAsia="Roboto" w:hAnsi="Verdana" w:cs="Roboto"/>
            <w:sz w:val="22"/>
            <w:szCs w:val="22"/>
          </w:rPr>
          <w:t>Statement 6</w:t>
        </w:r>
      </w:hyperlink>
      <w:r w:rsidRPr="004E044D">
        <w:rPr>
          <w:rFonts w:ascii="Verdana" w:eastAsia="Verdana" w:hAnsi="Verdana" w:cs="Verdana"/>
          <w:color w:val="0E0E0E"/>
          <w:sz w:val="22"/>
          <w:szCs w:val="22"/>
        </w:rPr>
        <w:t xml:space="preserve"> People diagnosed with a sexually transmitted infection are supported to notify their partners.</w:t>
      </w:r>
    </w:p>
    <w:p w14:paraId="56EEC007" w14:textId="77777777" w:rsidR="5CE33517" w:rsidRPr="008D6AC4" w:rsidRDefault="5CE33517" w:rsidP="0E4D9769">
      <w:pPr>
        <w:jc w:val="both"/>
        <w:rPr>
          <w:rFonts w:ascii="Verdana" w:hAnsi="Verdana"/>
          <w:sz w:val="22"/>
          <w:szCs w:val="22"/>
        </w:rPr>
      </w:pPr>
      <w:r w:rsidRPr="008D6AC4">
        <w:rPr>
          <w:rFonts w:ascii="Verdana" w:hAnsi="Verdana"/>
          <w:sz w:val="22"/>
          <w:szCs w:val="22"/>
        </w:rPr>
        <w:t>Set out above are the NICE (National Institute of Clinical Excellence) Quality Standards for sexual health published in 2019. Throughout this document there is evidence provided of how the work undertaken in recent years in Kent has applied, met, and oftentimes exceeded these standards</w:t>
      </w:r>
      <w:r w:rsidR="45D2D421" w:rsidRPr="008D6AC4">
        <w:rPr>
          <w:rFonts w:ascii="Verdana" w:hAnsi="Verdana"/>
          <w:sz w:val="22"/>
          <w:szCs w:val="22"/>
        </w:rPr>
        <w:t xml:space="preserve">. </w:t>
      </w:r>
    </w:p>
    <w:p w14:paraId="2049B8F7" w14:textId="77777777" w:rsidR="4A59185D" w:rsidRPr="008D6AC4" w:rsidRDefault="4A59185D" w:rsidP="0E4D9769">
      <w:pPr>
        <w:jc w:val="both"/>
        <w:rPr>
          <w:rFonts w:ascii="Verdana" w:hAnsi="Verdana"/>
          <w:sz w:val="22"/>
          <w:szCs w:val="22"/>
        </w:rPr>
      </w:pPr>
      <w:r w:rsidRPr="008D6AC4">
        <w:rPr>
          <w:rFonts w:ascii="Verdana" w:hAnsi="Verdana"/>
          <w:sz w:val="22"/>
          <w:szCs w:val="22"/>
        </w:rPr>
        <w:t>However, there are areas for improvement</w:t>
      </w:r>
      <w:r w:rsidR="2E0CD141" w:rsidRPr="008D6AC4">
        <w:rPr>
          <w:rFonts w:ascii="Verdana" w:hAnsi="Verdana"/>
          <w:sz w:val="22"/>
          <w:szCs w:val="22"/>
        </w:rPr>
        <w:t xml:space="preserve"> which have been set out in </w:t>
      </w:r>
      <w:r w:rsidR="3937FCFF" w:rsidRPr="008D6AC4">
        <w:rPr>
          <w:rFonts w:ascii="Verdana" w:hAnsi="Verdana"/>
          <w:sz w:val="22"/>
          <w:szCs w:val="22"/>
        </w:rPr>
        <w:t>the</w:t>
      </w:r>
      <w:r w:rsidR="2E0CD141" w:rsidRPr="008D6AC4">
        <w:rPr>
          <w:rFonts w:ascii="Verdana" w:hAnsi="Verdana"/>
          <w:sz w:val="22"/>
          <w:szCs w:val="22"/>
        </w:rPr>
        <w:t xml:space="preserve"> recommendations, for example improving work with system partners to ensure that a</w:t>
      </w:r>
      <w:r w:rsidR="5A1FA07D" w:rsidRPr="008D6AC4">
        <w:rPr>
          <w:rFonts w:ascii="Verdana" w:hAnsi="Verdana"/>
          <w:sz w:val="22"/>
          <w:szCs w:val="22"/>
        </w:rPr>
        <w:t>ll</w:t>
      </w:r>
      <w:r w:rsidR="2E0CD141" w:rsidRPr="008D6AC4">
        <w:rPr>
          <w:rFonts w:ascii="Verdana" w:hAnsi="Verdana"/>
          <w:sz w:val="22"/>
          <w:szCs w:val="22"/>
        </w:rPr>
        <w:t xml:space="preserve"> Kent residents</w:t>
      </w:r>
      <w:r w:rsidR="15FC65CB" w:rsidRPr="008D6AC4">
        <w:rPr>
          <w:rFonts w:ascii="Verdana" w:hAnsi="Verdana"/>
          <w:sz w:val="22"/>
          <w:szCs w:val="22"/>
        </w:rPr>
        <w:t xml:space="preserve"> </w:t>
      </w:r>
      <w:r w:rsidR="597FA76B" w:rsidRPr="008D6AC4">
        <w:rPr>
          <w:rFonts w:ascii="Verdana" w:hAnsi="Verdana"/>
          <w:sz w:val="22"/>
          <w:szCs w:val="22"/>
        </w:rPr>
        <w:t xml:space="preserve">who may be at higher risk of </w:t>
      </w:r>
      <w:r w:rsidR="15FC65CB" w:rsidRPr="008D6AC4">
        <w:rPr>
          <w:rFonts w:ascii="Verdana" w:hAnsi="Verdana"/>
          <w:sz w:val="22"/>
          <w:szCs w:val="22"/>
        </w:rPr>
        <w:t>STI’s are identified</w:t>
      </w:r>
      <w:r w:rsidR="0662A0EE" w:rsidRPr="008D6AC4">
        <w:rPr>
          <w:rFonts w:ascii="Verdana" w:hAnsi="Verdana"/>
          <w:sz w:val="22"/>
          <w:szCs w:val="22"/>
        </w:rPr>
        <w:t xml:space="preserve"> and offered testing and support</w:t>
      </w:r>
      <w:r w:rsidR="15FC65CB" w:rsidRPr="008D6AC4">
        <w:rPr>
          <w:rFonts w:ascii="Verdana" w:hAnsi="Verdana"/>
          <w:sz w:val="22"/>
          <w:szCs w:val="22"/>
        </w:rPr>
        <w:t>.</w:t>
      </w:r>
      <w:r w:rsidR="595D070E" w:rsidRPr="008D6AC4">
        <w:rPr>
          <w:rFonts w:ascii="Verdana" w:hAnsi="Verdana"/>
          <w:sz w:val="22"/>
          <w:szCs w:val="22"/>
        </w:rPr>
        <w:t xml:space="preserve"> As well as ensuring that all MSM’s are offered follow up testing every 3 months. </w:t>
      </w:r>
      <w:r w:rsidR="6F175C3C" w:rsidRPr="008D6AC4">
        <w:rPr>
          <w:rFonts w:ascii="Verdana" w:hAnsi="Verdana"/>
          <w:sz w:val="22"/>
          <w:szCs w:val="22"/>
        </w:rPr>
        <w:t xml:space="preserve"> </w:t>
      </w:r>
      <w:r w:rsidR="15FC65CB" w:rsidRPr="008D6AC4">
        <w:rPr>
          <w:rFonts w:ascii="Verdana" w:hAnsi="Verdana"/>
          <w:sz w:val="22"/>
          <w:szCs w:val="22"/>
        </w:rPr>
        <w:t xml:space="preserve"> </w:t>
      </w:r>
    </w:p>
    <w:p w14:paraId="4749AF33" w14:textId="77777777" w:rsidR="4A0F6D8A" w:rsidRPr="008D6AC4" w:rsidRDefault="5CE33517" w:rsidP="31405514">
      <w:pPr>
        <w:jc w:val="both"/>
        <w:rPr>
          <w:rFonts w:ascii="Verdana" w:hAnsi="Verdana"/>
          <w:sz w:val="22"/>
          <w:szCs w:val="22"/>
        </w:rPr>
      </w:pPr>
      <w:r w:rsidRPr="6B91972C">
        <w:rPr>
          <w:rFonts w:ascii="Verdana" w:hAnsi="Verdana"/>
          <w:sz w:val="22"/>
          <w:szCs w:val="22"/>
        </w:rPr>
        <w:t>Service specifications are due to be re-written in 2024-2025 to support the Public Health Transformation Programme. It is recommended that the Quality Standards are applied robustly and prioritised in those specifications, alongside focusing on outcomes.</w:t>
      </w:r>
    </w:p>
    <w:p w14:paraId="70D31EB3" w14:textId="77777777" w:rsidR="6B91972C" w:rsidRDefault="6B91972C" w:rsidP="6B91972C">
      <w:pPr>
        <w:jc w:val="both"/>
        <w:rPr>
          <w:rFonts w:ascii="Verdana" w:hAnsi="Verdana"/>
          <w:sz w:val="22"/>
          <w:szCs w:val="22"/>
        </w:rPr>
      </w:pPr>
    </w:p>
    <w:p w14:paraId="6E4DBDCC" w14:textId="77777777" w:rsidR="318674ED" w:rsidRDefault="4B055EDA" w:rsidP="0089791B">
      <w:pPr>
        <w:pStyle w:val="Heading2"/>
        <w:numPr>
          <w:ilvl w:val="0"/>
          <w:numId w:val="0"/>
        </w:numPr>
        <w:rPr>
          <w:rFonts w:ascii="Verdana" w:eastAsia="Verdana" w:hAnsi="Verdana" w:cs="Verdana"/>
          <w:sz w:val="22"/>
          <w:szCs w:val="22"/>
        </w:rPr>
      </w:pPr>
      <w:bookmarkStart w:id="74" w:name="_Toc951318969"/>
      <w:r w:rsidRPr="136F3BEB">
        <w:rPr>
          <w:rFonts w:ascii="Verdana" w:eastAsia="Verdana" w:hAnsi="Verdana" w:cs="Verdana"/>
        </w:rPr>
        <w:t>7. STI Prioritisation Framework</w:t>
      </w:r>
      <w:bookmarkEnd w:id="74"/>
    </w:p>
    <w:p w14:paraId="37773638" w14:textId="77777777" w:rsidR="0852195B" w:rsidRPr="0089791B" w:rsidRDefault="0852195B" w:rsidP="0089791B">
      <w:pPr>
        <w:jc w:val="center"/>
      </w:pPr>
      <w:r>
        <w:rPr>
          <w:noProof/>
        </w:rPr>
        <w:drawing>
          <wp:inline distT="0" distB="0" distL="0" distR="0" wp14:anchorId="1DD1B0DB" wp14:editId="01E49FF4">
            <wp:extent cx="4145960" cy="2051005"/>
            <wp:effectExtent l="0" t="0" r="0" b="0"/>
            <wp:docPr id="1353546124" name="Picture 1353546124" descr="Infographic from STI prioritisation framework emphasising importance of preventing adverse health outcomes and reducing inequ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546124" name="Picture 1353546124" descr="Infographic from STI prioritisation framework emphasising importance of preventing adverse health outcomes and reducing inequalities."/>
                    <pic:cNvPicPr/>
                  </pic:nvPicPr>
                  <pic:blipFill>
                    <a:blip r:embed="rId42">
                      <a:extLst>
                        <a:ext uri="{28A0092B-C50C-407E-A947-70E740481C1C}">
                          <a14:useLocalDpi xmlns:a14="http://schemas.microsoft.com/office/drawing/2010/main" val="0"/>
                        </a:ext>
                      </a:extLst>
                    </a:blip>
                    <a:stretch>
                      <a:fillRect/>
                    </a:stretch>
                  </pic:blipFill>
                  <pic:spPr>
                    <a:xfrm>
                      <a:off x="0" y="0"/>
                      <a:ext cx="4145960" cy="2051005"/>
                    </a:xfrm>
                    <a:prstGeom prst="rect">
                      <a:avLst/>
                    </a:prstGeom>
                  </pic:spPr>
                </pic:pic>
              </a:graphicData>
            </a:graphic>
          </wp:inline>
        </w:drawing>
      </w:r>
    </w:p>
    <w:p w14:paraId="7367C69A" w14:textId="77777777" w:rsidR="318674ED" w:rsidRDefault="4B055EDA">
      <w:pPr>
        <w:jc w:val="both"/>
        <w:rPr>
          <w:rFonts w:ascii="Verdana" w:hAnsi="Verdana"/>
          <w:sz w:val="22"/>
          <w:szCs w:val="22"/>
        </w:rPr>
      </w:pPr>
      <w:r w:rsidRPr="6B91972C">
        <w:rPr>
          <w:rFonts w:ascii="Verdana" w:hAnsi="Verdana"/>
          <w:sz w:val="22"/>
          <w:szCs w:val="22"/>
        </w:rPr>
        <w:lastRenderedPageBreak/>
        <w:t xml:space="preserve">In October 2024, the UKHSA released a UK wide Sexually </w:t>
      </w:r>
      <w:r w:rsidR="28556C9B" w:rsidRPr="6B91972C">
        <w:rPr>
          <w:rFonts w:ascii="Verdana" w:hAnsi="Verdana"/>
          <w:sz w:val="22"/>
          <w:szCs w:val="22"/>
        </w:rPr>
        <w:t>Transmitted</w:t>
      </w:r>
      <w:r w:rsidRPr="6B91972C">
        <w:rPr>
          <w:rFonts w:ascii="Verdana" w:hAnsi="Verdana"/>
          <w:sz w:val="22"/>
          <w:szCs w:val="22"/>
        </w:rPr>
        <w:t xml:space="preserve"> Infection Prioritisation Framework</w:t>
      </w:r>
      <w:r w:rsidR="318674ED" w:rsidRPr="6B91972C">
        <w:rPr>
          <w:rStyle w:val="FootnoteReference"/>
          <w:rFonts w:ascii="Verdana" w:hAnsi="Verdana"/>
          <w:sz w:val="22"/>
          <w:szCs w:val="22"/>
        </w:rPr>
        <w:footnoteReference w:id="102"/>
      </w:r>
      <w:r w:rsidR="2290A15C" w:rsidRPr="6B91972C">
        <w:rPr>
          <w:rStyle w:val="FootnoteReference"/>
          <w:rFonts w:ascii="Verdana" w:hAnsi="Verdana"/>
          <w:sz w:val="22"/>
          <w:szCs w:val="22"/>
        </w:rPr>
        <w:t>.</w:t>
      </w:r>
      <w:r w:rsidR="7498FB50" w:rsidRPr="6B91972C">
        <w:rPr>
          <w:rStyle w:val="FootnoteReference"/>
          <w:rFonts w:ascii="Verdana" w:hAnsi="Verdana"/>
          <w:sz w:val="22"/>
          <w:szCs w:val="22"/>
        </w:rPr>
        <w:t xml:space="preserve"> </w:t>
      </w:r>
      <w:r w:rsidR="7498FB50" w:rsidRPr="6B91972C">
        <w:rPr>
          <w:rFonts w:ascii="Verdana" w:hAnsi="Verdana"/>
          <w:sz w:val="22"/>
          <w:szCs w:val="22"/>
        </w:rPr>
        <w:t xml:space="preserve">This document aims to support the principles set out in that document through the investigations and recommendation made. </w:t>
      </w:r>
    </w:p>
    <w:p w14:paraId="6F3AEDFD" w14:textId="77777777" w:rsidR="62CD0F67" w:rsidRDefault="62CD0F67" w:rsidP="6B91972C">
      <w:pPr>
        <w:jc w:val="both"/>
        <w:rPr>
          <w:rFonts w:ascii="Verdana" w:hAnsi="Verdana"/>
          <w:sz w:val="22"/>
          <w:szCs w:val="22"/>
        </w:rPr>
      </w:pPr>
      <w:r w:rsidRPr="6B91972C">
        <w:rPr>
          <w:rFonts w:ascii="Verdana" w:hAnsi="Verdana"/>
          <w:sz w:val="22"/>
          <w:szCs w:val="22"/>
        </w:rPr>
        <w:t xml:space="preserve">The evidence based, co-produced principles of the framework are as follows: </w:t>
      </w:r>
    </w:p>
    <w:p w14:paraId="42C9006A" w14:textId="77777777" w:rsidR="62CD0F67" w:rsidRDefault="62CD0F67" w:rsidP="0089791B">
      <w:pPr>
        <w:jc w:val="both"/>
        <w:rPr>
          <w:rFonts w:ascii="Verdana" w:eastAsia="Verdana" w:hAnsi="Verdana" w:cs="Verdana"/>
          <w:sz w:val="22"/>
          <w:szCs w:val="22"/>
        </w:rPr>
      </w:pPr>
      <w:r w:rsidRPr="6B91972C">
        <w:rPr>
          <w:rFonts w:ascii="Verdana" w:eastAsia="Verdana" w:hAnsi="Verdana" w:cs="Verdana"/>
          <w:sz w:val="22"/>
          <w:szCs w:val="22"/>
        </w:rPr>
        <w:t xml:space="preserve">1. The sexual health needs of the population can only be met through working in partnership. This includes identifying or establishing local structures to enable effective collaborative working. </w:t>
      </w:r>
    </w:p>
    <w:p w14:paraId="3421C5F0" w14:textId="77777777" w:rsidR="62CD0F67" w:rsidRDefault="62CD0F67" w:rsidP="6B91972C">
      <w:pPr>
        <w:jc w:val="both"/>
        <w:rPr>
          <w:rFonts w:ascii="Verdana" w:eastAsia="Verdana" w:hAnsi="Verdana" w:cs="Verdana"/>
          <w:sz w:val="22"/>
          <w:szCs w:val="22"/>
        </w:rPr>
      </w:pPr>
      <w:r w:rsidRPr="6B91972C">
        <w:rPr>
          <w:rFonts w:ascii="Verdana" w:eastAsia="Verdana" w:hAnsi="Verdana" w:cs="Verdana"/>
          <w:sz w:val="22"/>
          <w:szCs w:val="22"/>
        </w:rPr>
        <w:t xml:space="preserve">2. It is essential that specialist sexual health services (SHSs) have established links and arrangements with other specialties for the management of complex cases. </w:t>
      </w:r>
    </w:p>
    <w:p w14:paraId="0EB36374" w14:textId="77777777" w:rsidR="62CD0F67" w:rsidRDefault="62CD0F67" w:rsidP="6B91972C">
      <w:pPr>
        <w:jc w:val="both"/>
        <w:rPr>
          <w:rFonts w:ascii="Verdana" w:eastAsia="Verdana" w:hAnsi="Verdana" w:cs="Verdana"/>
          <w:sz w:val="22"/>
          <w:szCs w:val="22"/>
        </w:rPr>
      </w:pPr>
      <w:r w:rsidRPr="6B91972C">
        <w:rPr>
          <w:rFonts w:ascii="Verdana" w:eastAsia="Verdana" w:hAnsi="Verdana" w:cs="Verdana"/>
          <w:sz w:val="22"/>
          <w:szCs w:val="22"/>
        </w:rPr>
        <w:t xml:space="preserve">3. It is essential that services and interventions are co-produced with local communities, ensuring that lived experience is at the heart of local planning and decision making. </w:t>
      </w:r>
    </w:p>
    <w:p w14:paraId="12FB15C3" w14:textId="77777777" w:rsidR="62CD0F67" w:rsidRDefault="62CD0F67" w:rsidP="6B91972C">
      <w:pPr>
        <w:jc w:val="both"/>
        <w:rPr>
          <w:rFonts w:ascii="Verdana" w:eastAsia="Verdana" w:hAnsi="Verdana" w:cs="Verdana"/>
          <w:sz w:val="22"/>
          <w:szCs w:val="22"/>
        </w:rPr>
      </w:pPr>
      <w:r w:rsidRPr="6B91972C">
        <w:rPr>
          <w:rFonts w:ascii="Verdana" w:eastAsia="Verdana" w:hAnsi="Verdana" w:cs="Verdana"/>
          <w:sz w:val="22"/>
          <w:szCs w:val="22"/>
        </w:rPr>
        <w:t xml:space="preserve">4. Services must be planned on the basis of an assessment of local need and be able to adapt to changing need and circumstances. </w:t>
      </w:r>
    </w:p>
    <w:p w14:paraId="457E8B4B" w14:textId="77777777" w:rsidR="62CD0F67" w:rsidRDefault="62CD0F67" w:rsidP="6B91972C">
      <w:pPr>
        <w:jc w:val="both"/>
        <w:rPr>
          <w:rFonts w:ascii="Verdana" w:eastAsia="Verdana" w:hAnsi="Verdana" w:cs="Verdana"/>
          <w:sz w:val="22"/>
          <w:szCs w:val="22"/>
        </w:rPr>
      </w:pPr>
      <w:r w:rsidRPr="6B91972C">
        <w:rPr>
          <w:rFonts w:ascii="Verdana" w:eastAsia="Verdana" w:hAnsi="Verdana" w:cs="Verdana"/>
          <w:sz w:val="22"/>
          <w:szCs w:val="22"/>
        </w:rPr>
        <w:t xml:space="preserve">5. Local areas should draw on existing evidence, where available, to inform their practice. </w:t>
      </w:r>
    </w:p>
    <w:p w14:paraId="22B29197" w14:textId="77777777" w:rsidR="62CD0F67" w:rsidRDefault="62CD0F67" w:rsidP="6B91972C">
      <w:pPr>
        <w:jc w:val="both"/>
        <w:rPr>
          <w:rFonts w:ascii="Verdana" w:eastAsia="Verdana" w:hAnsi="Verdana" w:cs="Verdana"/>
          <w:sz w:val="22"/>
          <w:szCs w:val="22"/>
        </w:rPr>
      </w:pPr>
      <w:r w:rsidRPr="6B91972C">
        <w:rPr>
          <w:rFonts w:ascii="Verdana" w:eastAsia="Verdana" w:hAnsi="Verdana" w:cs="Verdana"/>
          <w:sz w:val="22"/>
          <w:szCs w:val="22"/>
        </w:rPr>
        <w:t xml:space="preserve">6. Evaluation is essential to understand whether new interventions, changes in practice or service improvements have achieved their intended impact and to develop the evidence base. </w:t>
      </w:r>
    </w:p>
    <w:p w14:paraId="3788236D" w14:textId="77777777" w:rsidR="62CD0F67" w:rsidRDefault="62CD0F67" w:rsidP="6B91972C">
      <w:pPr>
        <w:jc w:val="both"/>
        <w:rPr>
          <w:rFonts w:ascii="Verdana" w:eastAsia="Verdana" w:hAnsi="Verdana" w:cs="Verdana"/>
          <w:sz w:val="22"/>
          <w:szCs w:val="22"/>
        </w:rPr>
      </w:pPr>
      <w:r w:rsidRPr="6B91972C">
        <w:rPr>
          <w:rFonts w:ascii="Verdana" w:eastAsia="Verdana" w:hAnsi="Verdana" w:cs="Verdana"/>
          <w:sz w:val="22"/>
          <w:szCs w:val="22"/>
        </w:rPr>
        <w:t xml:space="preserve">7. Addressing health inequalities is central to our approach to STI control and therefore resources should be prioritised on the basis of need, with a focus on under-served populations. </w:t>
      </w:r>
    </w:p>
    <w:p w14:paraId="7CC3D0B4" w14:textId="77777777" w:rsidR="62CD0F67" w:rsidRDefault="62CD0F67" w:rsidP="6B91972C">
      <w:pPr>
        <w:jc w:val="both"/>
        <w:rPr>
          <w:rFonts w:ascii="Verdana" w:eastAsia="Verdana" w:hAnsi="Verdana" w:cs="Verdana"/>
          <w:sz w:val="22"/>
          <w:szCs w:val="22"/>
        </w:rPr>
      </w:pPr>
      <w:r w:rsidRPr="6B91972C">
        <w:rPr>
          <w:rFonts w:ascii="Verdana" w:eastAsia="Verdana" w:hAnsi="Verdana" w:cs="Verdana"/>
          <w:sz w:val="22"/>
          <w:szCs w:val="22"/>
        </w:rPr>
        <w:t xml:space="preserve">8. Commissioners and providers must ensure SHSs have the capacity and skills to address safeguarding concerns in a skilled and timely manner. </w:t>
      </w:r>
    </w:p>
    <w:p w14:paraId="7F2A8DDC" w14:textId="77777777" w:rsidR="62CD0F67" w:rsidRDefault="62CD0F67" w:rsidP="6B91972C">
      <w:pPr>
        <w:jc w:val="both"/>
        <w:rPr>
          <w:rFonts w:ascii="Verdana" w:eastAsia="Verdana" w:hAnsi="Verdana" w:cs="Verdana"/>
          <w:sz w:val="22"/>
          <w:szCs w:val="22"/>
        </w:rPr>
      </w:pPr>
      <w:r w:rsidRPr="6B91972C">
        <w:rPr>
          <w:rFonts w:ascii="Verdana" w:eastAsia="Verdana" w:hAnsi="Verdana" w:cs="Verdana"/>
          <w:sz w:val="22"/>
          <w:szCs w:val="22"/>
        </w:rPr>
        <w:t xml:space="preserve">9. Commissioners and providers must ensure specialist SHSs have the capacity and skills to manage complex cases and provide clinical STI expertise to non-specialist providers. </w:t>
      </w:r>
    </w:p>
    <w:p w14:paraId="1E913685" w14:textId="77777777" w:rsidR="62CD0F67" w:rsidRDefault="62CD0F67" w:rsidP="6B91972C">
      <w:pPr>
        <w:jc w:val="both"/>
        <w:rPr>
          <w:rFonts w:ascii="Verdana" w:eastAsia="Verdana" w:hAnsi="Verdana" w:cs="Verdana"/>
          <w:sz w:val="22"/>
          <w:szCs w:val="22"/>
        </w:rPr>
      </w:pPr>
      <w:r w:rsidRPr="6B91972C">
        <w:rPr>
          <w:rFonts w:ascii="Verdana" w:eastAsia="Verdana" w:hAnsi="Verdana" w:cs="Verdana"/>
          <w:sz w:val="22"/>
          <w:szCs w:val="22"/>
        </w:rPr>
        <w:t xml:space="preserve">10. Primary prevention activities such as health promotion and access to condoms should not be sacrificed when resources are limited. </w:t>
      </w:r>
    </w:p>
    <w:p w14:paraId="43E5610F" w14:textId="77777777" w:rsidR="62CD0F67" w:rsidRDefault="62CD0F67" w:rsidP="6B91972C">
      <w:pPr>
        <w:jc w:val="both"/>
        <w:rPr>
          <w:rFonts w:ascii="Verdana" w:eastAsia="Verdana" w:hAnsi="Verdana" w:cs="Verdana"/>
          <w:sz w:val="22"/>
          <w:szCs w:val="22"/>
        </w:rPr>
      </w:pPr>
      <w:r w:rsidRPr="6B91972C">
        <w:rPr>
          <w:rFonts w:ascii="Verdana" w:eastAsia="Verdana" w:hAnsi="Verdana" w:cs="Verdana"/>
          <w:sz w:val="22"/>
          <w:szCs w:val="22"/>
        </w:rPr>
        <w:t xml:space="preserve">11. Testing and treating those with diagnosed infection is a mainstay of STI control. </w:t>
      </w:r>
    </w:p>
    <w:p w14:paraId="51C966FF" w14:textId="3EE2B220" w:rsidR="10E1FDC4" w:rsidRDefault="62CD0F67" w:rsidP="6B91972C">
      <w:pPr>
        <w:rPr>
          <w:rFonts w:ascii="Verdana" w:eastAsia="Verdana" w:hAnsi="Verdana" w:cs="Verdana"/>
          <w:sz w:val="22"/>
          <w:szCs w:val="22"/>
        </w:rPr>
      </w:pPr>
      <w:r w:rsidRPr="6B91972C">
        <w:rPr>
          <w:rFonts w:ascii="Verdana" w:eastAsia="Verdana" w:hAnsi="Verdana" w:cs="Verdana"/>
          <w:sz w:val="22"/>
          <w:szCs w:val="22"/>
        </w:rPr>
        <w:t xml:space="preserve">12. There is no ‘magic bullet’: no one intervention will achieve STI control. We need to use a range of prevention, testing and treatment interventions as they are all </w:t>
      </w:r>
      <w:r w:rsidR="00F42E4B" w:rsidRPr="6B91972C">
        <w:rPr>
          <w:rFonts w:ascii="Verdana" w:eastAsia="Verdana" w:hAnsi="Verdana" w:cs="Verdana"/>
          <w:sz w:val="22"/>
          <w:szCs w:val="22"/>
        </w:rPr>
        <w:t>imperfect. Kent</w:t>
      </w:r>
      <w:r w:rsidR="10E1FDC4" w:rsidRPr="6B91972C">
        <w:rPr>
          <w:rFonts w:ascii="Verdana" w:eastAsia="Verdana" w:hAnsi="Verdana" w:cs="Verdana"/>
          <w:sz w:val="22"/>
          <w:szCs w:val="22"/>
        </w:rPr>
        <w:t xml:space="preserve"> aims to use this sexual health needs assessment as Step 1 of the framework</w:t>
      </w:r>
      <w:r w:rsidR="4254D764" w:rsidRPr="6B91972C">
        <w:rPr>
          <w:rFonts w:ascii="Verdana" w:eastAsia="Verdana" w:hAnsi="Verdana" w:cs="Verdana"/>
          <w:sz w:val="22"/>
          <w:szCs w:val="22"/>
        </w:rPr>
        <w:t>’</w:t>
      </w:r>
      <w:r w:rsidR="10E1FDC4" w:rsidRPr="6B91972C">
        <w:rPr>
          <w:rFonts w:ascii="Verdana" w:eastAsia="Verdana" w:hAnsi="Verdana" w:cs="Verdana"/>
          <w:sz w:val="22"/>
          <w:szCs w:val="22"/>
        </w:rPr>
        <w:t xml:space="preserve">s Theory of Change model to </w:t>
      </w:r>
      <w:r w:rsidR="5D48A6CD" w:rsidRPr="6B91972C">
        <w:rPr>
          <w:rFonts w:ascii="Verdana" w:eastAsia="Verdana" w:hAnsi="Verdana" w:cs="Verdana"/>
          <w:sz w:val="22"/>
          <w:szCs w:val="22"/>
        </w:rPr>
        <w:t xml:space="preserve">guide our actions as a system and improve the sexual health outcomes of our residents. </w:t>
      </w:r>
      <w:r w:rsidR="3B63AD2B" w:rsidRPr="6B91972C">
        <w:rPr>
          <w:rFonts w:ascii="Verdana" w:eastAsia="Verdana" w:hAnsi="Verdana" w:cs="Verdana"/>
          <w:sz w:val="22"/>
          <w:szCs w:val="22"/>
        </w:rPr>
        <w:t xml:space="preserve">This model can be </w:t>
      </w:r>
      <w:r w:rsidR="3B63AD2B" w:rsidRPr="6B91972C">
        <w:rPr>
          <w:rFonts w:ascii="Verdana" w:eastAsia="Verdana" w:hAnsi="Verdana" w:cs="Verdana"/>
          <w:sz w:val="22"/>
          <w:szCs w:val="22"/>
        </w:rPr>
        <w:lastRenderedPageBreak/>
        <w:t xml:space="preserve">found on page 6 of the publication. </w:t>
      </w:r>
      <w:hyperlink r:id="rId43" w:history="1">
        <w:r w:rsidR="3B63AD2B" w:rsidRPr="6B91972C">
          <w:rPr>
            <w:rStyle w:val="Hyperlink"/>
            <w:rFonts w:ascii="Verdana" w:eastAsia="Verdana" w:hAnsi="Verdana" w:cs="Verdana"/>
            <w:sz w:val="22"/>
            <w:szCs w:val="22"/>
          </w:rPr>
          <w:t>STI Prioritisation Framework (publishing.service.gov.uk)</w:t>
        </w:r>
      </w:hyperlink>
      <w:r w:rsidR="3B63AD2B" w:rsidRPr="6B91972C">
        <w:rPr>
          <w:rFonts w:ascii="Verdana" w:eastAsia="Verdana" w:hAnsi="Verdana" w:cs="Verdana"/>
          <w:sz w:val="22"/>
          <w:szCs w:val="22"/>
        </w:rPr>
        <w:t xml:space="preserve"> </w:t>
      </w:r>
    </w:p>
    <w:p w14:paraId="368129B7" w14:textId="77777777" w:rsidR="6B91972C" w:rsidRDefault="6B91972C" w:rsidP="136F3BEB">
      <w:pPr>
        <w:jc w:val="both"/>
      </w:pPr>
    </w:p>
    <w:p w14:paraId="142A2C99" w14:textId="77777777" w:rsidR="4A0F6D8A" w:rsidRPr="008D6AC4" w:rsidRDefault="00E91840" w:rsidP="0E4D9769">
      <w:pPr>
        <w:jc w:val="both"/>
        <w:rPr>
          <w:rFonts w:ascii="Verdana" w:hAnsi="Verdana"/>
          <w:sz w:val="22"/>
          <w:szCs w:val="22"/>
        </w:rPr>
      </w:pPr>
      <w:r w:rsidRPr="008D6AC4">
        <w:rPr>
          <w:rFonts w:ascii="Verdana" w:hAnsi="Verdana"/>
          <w:noProof/>
        </w:rPr>
        <mc:AlternateContent>
          <mc:Choice Requires="wps">
            <w:drawing>
              <wp:inline distT="0" distB="0" distL="114300" distR="114300" wp14:anchorId="45BA8280" wp14:editId="1F2D47F6">
                <wp:extent cx="5778500" cy="3586480"/>
                <wp:effectExtent l="19050" t="19050" r="12700" b="13970"/>
                <wp:docPr id="1642025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3586480"/>
                        </a:xfrm>
                        <a:prstGeom prst="rect">
                          <a:avLst/>
                        </a:prstGeom>
                        <a:solidFill>
                          <a:srgbClr val="FFFFFF"/>
                        </a:solidFill>
                        <a:ln w="28575">
                          <a:solidFill>
                            <a:srgbClr val="7FCDD3"/>
                          </a:solidFill>
                          <a:miter lim="800000"/>
                          <a:headEnd/>
                          <a:tailEnd/>
                        </a:ln>
                      </wps:spPr>
                      <wps:txbx>
                        <w:txbxContent>
                          <w:p w14:paraId="59EA3E6F" w14:textId="77777777" w:rsidR="007A4FC3" w:rsidRPr="00204141" w:rsidRDefault="007A4FC3" w:rsidP="00FD7708">
                            <w:pPr>
                              <w:rPr>
                                <w:rFonts w:ascii="Verdana" w:hAnsi="Verdana"/>
                                <w:i/>
                                <w:color w:val="2D7C82"/>
                                <w:sz w:val="22"/>
                                <w:szCs w:val="22"/>
                              </w:rPr>
                            </w:pPr>
                            <w:r w:rsidRPr="00204141">
                              <w:rPr>
                                <w:rFonts w:ascii="Verdana" w:hAnsi="Verdana"/>
                                <w:i/>
                                <w:color w:val="2D7C82"/>
                                <w:sz w:val="22"/>
                                <w:szCs w:val="22"/>
                              </w:rPr>
                              <w:t>Key Messages</w:t>
                            </w:r>
                          </w:p>
                          <w:p w14:paraId="0A6A1858" w14:textId="77777777" w:rsidR="007A4FC3" w:rsidRPr="00204141" w:rsidRDefault="007A4FC3" w:rsidP="00204141">
                            <w:pPr>
                              <w:numPr>
                                <w:ilvl w:val="0"/>
                                <w:numId w:val="3"/>
                              </w:numPr>
                              <w:rPr>
                                <w:rFonts w:ascii="Verdana" w:hAnsi="Verdana"/>
                                <w:i/>
                                <w:color w:val="2D7C82"/>
                                <w:sz w:val="22"/>
                                <w:szCs w:val="22"/>
                              </w:rPr>
                            </w:pPr>
                            <w:r w:rsidRPr="00204141">
                              <w:rPr>
                                <w:rFonts w:ascii="Verdana" w:hAnsi="Verdana"/>
                                <w:i/>
                                <w:color w:val="2D7C82"/>
                                <w:sz w:val="22"/>
                                <w:szCs w:val="22"/>
                              </w:rPr>
                              <w:t xml:space="preserve">Insights have shown that KCC is currently offering services that meet the population needs, however, more can be done to raise awareness of what support is available to ensure that those that aren’t currently accessing services have a greater chance of doing so. </w:t>
                            </w:r>
                            <w:r>
                              <w:rPr>
                                <w:rFonts w:ascii="Verdana" w:hAnsi="Verdana"/>
                                <w:i/>
                                <w:iCs/>
                                <w:color w:val="2D7C82"/>
                                <w:sz w:val="22"/>
                                <w:szCs w:val="22"/>
                              </w:rPr>
                              <w:br/>
                            </w:r>
                          </w:p>
                          <w:p w14:paraId="2334B0A7" w14:textId="77777777" w:rsidR="007A4FC3" w:rsidRPr="00204141" w:rsidRDefault="007A4FC3" w:rsidP="00204141">
                            <w:pPr>
                              <w:numPr>
                                <w:ilvl w:val="0"/>
                                <w:numId w:val="3"/>
                              </w:numPr>
                              <w:rPr>
                                <w:rFonts w:ascii="Verdana" w:hAnsi="Verdana"/>
                                <w:i/>
                                <w:color w:val="2D7C82"/>
                                <w:sz w:val="22"/>
                                <w:szCs w:val="22"/>
                              </w:rPr>
                            </w:pPr>
                            <w:r w:rsidRPr="00204141">
                              <w:rPr>
                                <w:rFonts w:ascii="Verdana" w:hAnsi="Verdana"/>
                                <w:i/>
                                <w:color w:val="2D7C82"/>
                                <w:sz w:val="22"/>
                                <w:szCs w:val="22"/>
                              </w:rPr>
                              <w:t>Natsal reported that the Covid-19 pandemic had changed people’s attitudes to sexual health, access to services and increased sexual violence incidences. The next Natsal will help indicate if these changes have continued nationally, and further understand of the Kent population’s attitudes is key.</w:t>
                            </w:r>
                            <w:r>
                              <w:rPr>
                                <w:rFonts w:ascii="Verdana" w:hAnsi="Verdana"/>
                                <w:i/>
                                <w:iCs/>
                                <w:color w:val="2D7C82"/>
                                <w:sz w:val="22"/>
                                <w:szCs w:val="22"/>
                              </w:rPr>
                              <w:br/>
                            </w:r>
                          </w:p>
                          <w:p w14:paraId="3769B17D" w14:textId="77777777" w:rsidR="007A4FC3" w:rsidRPr="00204141" w:rsidRDefault="007A4FC3" w:rsidP="00204141">
                            <w:pPr>
                              <w:numPr>
                                <w:ilvl w:val="0"/>
                                <w:numId w:val="3"/>
                              </w:numPr>
                              <w:rPr>
                                <w:rFonts w:ascii="Verdana" w:hAnsi="Verdana"/>
                                <w:i/>
                                <w:color w:val="2D7C82"/>
                                <w:sz w:val="22"/>
                                <w:szCs w:val="22"/>
                              </w:rPr>
                            </w:pPr>
                            <w:r w:rsidRPr="00204141">
                              <w:rPr>
                                <w:rFonts w:ascii="Verdana" w:hAnsi="Verdana"/>
                                <w:i/>
                                <w:color w:val="2D7C82"/>
                                <w:sz w:val="22"/>
                                <w:szCs w:val="22"/>
                              </w:rPr>
                              <w:t>Further insights would support a more detailed look into areas such as culture and other influences on sexual behaviour, for example drug and alcohol use.</w:t>
                            </w:r>
                          </w:p>
                        </w:txbxContent>
                      </wps:txbx>
                      <wps:bodyPr rot="0" vert="horz" wrap="square" lIns="91440" tIns="45720" rIns="91440" bIns="45720" anchor="t" anchorCtr="0">
                        <a:noAutofit/>
                      </wps:bodyPr>
                    </wps:wsp>
                  </a:graphicData>
                </a:graphic>
              </wp:inline>
            </w:drawing>
          </mc:Choice>
          <mc:Fallback>
            <w:pict>
              <v:shape w14:anchorId="45BA8280" id="_x0000_s1030" type="#_x0000_t202" style="width:455pt;height:28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" strokecolor="#7fcdd3" strokeweight="2.25pt">
                <v:textbox>
                  <w:txbxContent>
                    <w:p w14:paraId="59EA3E6F" w14:textId="77777777" w:rsidR="007A4FC3" w:rsidRPr="00204141" w:rsidRDefault="007A4FC3" w:rsidP="00FD7708">
                      <w:pPr>
                        <w:rPr>
                          <w:rFonts w:ascii="Verdana" w:hAnsi="Verdana"/>
                          <w:i/>
                          <w:color w:val="2D7C82"/>
                          <w:sz w:val="22"/>
                          <w:szCs w:val="22"/>
                        </w:rPr>
                      </w:pPr>
                      <w:r w:rsidRPr="00204141">
                        <w:rPr>
                          <w:rFonts w:ascii="Verdana" w:hAnsi="Verdana"/>
                          <w:i/>
                          <w:color w:val="2D7C82"/>
                          <w:sz w:val="22"/>
                          <w:szCs w:val="22"/>
                        </w:rPr>
                        <w:t>Key Messages</w:t>
                      </w:r>
                    </w:p>
                    <w:p w14:paraId="0A6A1858" w14:textId="77777777" w:rsidR="007A4FC3" w:rsidRPr="00204141" w:rsidRDefault="007A4FC3" w:rsidP="00204141">
                      <w:pPr>
                        <w:numPr>
                          <w:ilvl w:val="0"/>
                          <w:numId w:val="3"/>
                        </w:numPr>
                        <w:rPr>
                          <w:rFonts w:ascii="Verdana" w:hAnsi="Verdana"/>
                          <w:i/>
                          <w:color w:val="2D7C82"/>
                          <w:sz w:val="22"/>
                          <w:szCs w:val="22"/>
                        </w:rPr>
                      </w:pPr>
                      <w:r w:rsidRPr="00204141">
                        <w:rPr>
                          <w:rFonts w:ascii="Verdana" w:hAnsi="Verdana"/>
                          <w:i/>
                          <w:color w:val="2D7C82"/>
                          <w:sz w:val="22"/>
                          <w:szCs w:val="22"/>
                        </w:rPr>
                        <w:t xml:space="preserve">Insights have shown that KCC is currently offering services that meet the population needs, however, more can be done to raise awareness of what support is available to ensure that those that aren’t currently accessing services have a greater chance of doing so. </w:t>
                      </w:r>
                      <w:r>
                        <w:rPr>
                          <w:rFonts w:ascii="Verdana" w:hAnsi="Verdana"/>
                          <w:i/>
                          <w:iCs/>
                          <w:color w:val="2D7C82"/>
                          <w:sz w:val="22"/>
                          <w:szCs w:val="22"/>
                        </w:rPr>
                        <w:br/>
                      </w:r>
                    </w:p>
                    <w:p w14:paraId="2334B0A7" w14:textId="77777777" w:rsidR="007A4FC3" w:rsidRPr="00204141" w:rsidRDefault="007A4FC3" w:rsidP="00204141">
                      <w:pPr>
                        <w:numPr>
                          <w:ilvl w:val="0"/>
                          <w:numId w:val="3"/>
                        </w:numPr>
                        <w:rPr>
                          <w:rFonts w:ascii="Verdana" w:hAnsi="Verdana"/>
                          <w:i/>
                          <w:color w:val="2D7C82"/>
                          <w:sz w:val="22"/>
                          <w:szCs w:val="22"/>
                        </w:rPr>
                      </w:pPr>
                      <w:r w:rsidRPr="00204141">
                        <w:rPr>
                          <w:rFonts w:ascii="Verdana" w:hAnsi="Verdana"/>
                          <w:i/>
                          <w:color w:val="2D7C82"/>
                          <w:sz w:val="22"/>
                          <w:szCs w:val="22"/>
                        </w:rPr>
                        <w:t>Natsal reported that the Covid-19 pandemic had changed people’s attitudes to sexual health, access to services and increased sexual violence incidences. The next Natsal will help indicate if these changes have continued nationally, and further understand of the Kent population’s attitudes is key.</w:t>
                      </w:r>
                      <w:r>
                        <w:rPr>
                          <w:rFonts w:ascii="Verdana" w:hAnsi="Verdana"/>
                          <w:i/>
                          <w:iCs/>
                          <w:color w:val="2D7C82"/>
                          <w:sz w:val="22"/>
                          <w:szCs w:val="22"/>
                        </w:rPr>
                        <w:br/>
                      </w:r>
                    </w:p>
                    <w:p w14:paraId="3769B17D" w14:textId="77777777" w:rsidR="007A4FC3" w:rsidRPr="00204141" w:rsidRDefault="007A4FC3" w:rsidP="00204141">
                      <w:pPr>
                        <w:numPr>
                          <w:ilvl w:val="0"/>
                          <w:numId w:val="3"/>
                        </w:numPr>
                        <w:rPr>
                          <w:rFonts w:ascii="Verdana" w:hAnsi="Verdana"/>
                          <w:i/>
                          <w:color w:val="2D7C82"/>
                          <w:sz w:val="22"/>
                          <w:szCs w:val="22"/>
                        </w:rPr>
                      </w:pPr>
                      <w:r w:rsidRPr="00204141">
                        <w:rPr>
                          <w:rFonts w:ascii="Verdana" w:hAnsi="Verdana"/>
                          <w:i/>
                          <w:color w:val="2D7C82"/>
                          <w:sz w:val="22"/>
                          <w:szCs w:val="22"/>
                        </w:rPr>
                        <w:t>Further insights would support a more detailed look into areas such as culture and other influences on sexual behaviour, for example drug and alcohol use.</w:t>
                      </w:r>
                    </w:p>
                  </w:txbxContent>
                </v:textbox>
                <w10:anchorlock/>
              </v:shape>
            </w:pict>
          </mc:Fallback>
        </mc:AlternateContent>
      </w:r>
    </w:p>
    <w:p w14:paraId="30FD9843" w14:textId="77777777" w:rsidR="0E4D9769" w:rsidRPr="008D6AC4" w:rsidRDefault="0E4D9769" w:rsidP="0E4D9769">
      <w:pPr>
        <w:jc w:val="both"/>
        <w:rPr>
          <w:rFonts w:ascii="Verdana" w:hAnsi="Verdana"/>
          <w:sz w:val="22"/>
          <w:szCs w:val="22"/>
        </w:rPr>
      </w:pPr>
    </w:p>
    <w:p w14:paraId="0BC72267" w14:textId="77777777" w:rsidR="00B8147E" w:rsidRPr="008D6AC4" w:rsidRDefault="6A9E3243" w:rsidP="136F3BEB">
      <w:pPr>
        <w:pStyle w:val="Heading1"/>
        <w:numPr>
          <w:ilvl w:val="0"/>
          <w:numId w:val="0"/>
        </w:numPr>
        <w:rPr>
          <w:rFonts w:ascii="Verdana" w:eastAsiaTheme="minorEastAsia" w:hAnsi="Verdana"/>
          <w:color w:val="4F81BD" w:themeColor="accent1"/>
          <w:sz w:val="28"/>
          <w:szCs w:val="28"/>
        </w:rPr>
      </w:pPr>
      <w:bookmarkStart w:id="75" w:name="_Toc1233264568"/>
      <w:r w:rsidRPr="136F3BEB">
        <w:rPr>
          <w:rFonts w:ascii="Verdana" w:eastAsiaTheme="minorEastAsia" w:hAnsi="Verdana"/>
          <w:color w:val="2D7C82"/>
          <w:sz w:val="28"/>
          <w:szCs w:val="28"/>
        </w:rPr>
        <w:t>8</w:t>
      </w:r>
      <w:r w:rsidR="21569CA0" w:rsidRPr="136F3BEB">
        <w:rPr>
          <w:rFonts w:ascii="Verdana" w:eastAsiaTheme="minorEastAsia" w:hAnsi="Verdana"/>
          <w:color w:val="2D7C82"/>
          <w:sz w:val="28"/>
          <w:szCs w:val="28"/>
        </w:rPr>
        <w:t>.</w:t>
      </w:r>
      <w:r w:rsidR="0F5F7B39" w:rsidRPr="136F3BEB">
        <w:rPr>
          <w:rFonts w:ascii="Verdana" w:eastAsiaTheme="minorEastAsia" w:hAnsi="Verdana"/>
          <w:color w:val="2D7C82"/>
          <w:sz w:val="28"/>
          <w:szCs w:val="28"/>
        </w:rPr>
        <w:t xml:space="preserve"> </w:t>
      </w:r>
      <w:r w:rsidR="5D065891">
        <w:tab/>
      </w:r>
      <w:r w:rsidR="2ED98071" w:rsidRPr="136F3BEB">
        <w:rPr>
          <w:rFonts w:ascii="Verdana" w:eastAsiaTheme="minorEastAsia" w:hAnsi="Verdana"/>
          <w:color w:val="2D7C82"/>
          <w:sz w:val="28"/>
          <w:szCs w:val="28"/>
        </w:rPr>
        <w:t>Insights from local communities, service users and residents</w:t>
      </w:r>
      <w:bookmarkEnd w:id="75"/>
    </w:p>
    <w:p w14:paraId="717F77A5" w14:textId="77777777" w:rsidR="00B8147E" w:rsidRPr="008D6AC4" w:rsidRDefault="00B8147E" w:rsidP="00B8147E">
      <w:pPr>
        <w:jc w:val="both"/>
        <w:rPr>
          <w:rFonts w:ascii="Verdana" w:hAnsi="Verdana"/>
          <w:sz w:val="22"/>
          <w:szCs w:val="22"/>
        </w:rPr>
      </w:pPr>
      <w:r w:rsidRPr="008D6AC4">
        <w:rPr>
          <w:rFonts w:ascii="Verdana" w:hAnsi="Verdana"/>
          <w:sz w:val="22"/>
          <w:szCs w:val="22"/>
        </w:rPr>
        <w:t xml:space="preserve">Previous sections of this health needs assessment have included insights into groups at higher risk of poor sexual health, therefore, this section aims to highlight key overarching insights that apply across the sexual health services and system in Kent. </w:t>
      </w:r>
    </w:p>
    <w:p w14:paraId="421DF7EB" w14:textId="77777777" w:rsidR="00B8147E" w:rsidRPr="0089791B" w:rsidRDefault="03262FC6" w:rsidP="136F3BEB">
      <w:pPr>
        <w:pStyle w:val="Heading2"/>
        <w:numPr>
          <w:ilvl w:val="0"/>
          <w:numId w:val="0"/>
        </w:numPr>
        <w:rPr>
          <w:rFonts w:ascii="Verdana" w:eastAsiaTheme="minorEastAsia" w:hAnsi="Verdana" w:cstheme="minorBidi"/>
          <w:sz w:val="24"/>
          <w:szCs w:val="24"/>
        </w:rPr>
      </w:pPr>
      <w:bookmarkStart w:id="76" w:name="_Toc865009525"/>
      <w:r w:rsidRPr="136F3BEB">
        <w:rPr>
          <w:rFonts w:ascii="Verdana" w:eastAsiaTheme="minorEastAsia" w:hAnsi="Verdana" w:cstheme="minorBidi"/>
          <w:sz w:val="24"/>
          <w:szCs w:val="24"/>
        </w:rPr>
        <w:t>8</w:t>
      </w:r>
      <w:r w:rsidR="10EDCB99" w:rsidRPr="136F3BEB">
        <w:rPr>
          <w:rFonts w:ascii="Verdana" w:eastAsiaTheme="minorEastAsia" w:hAnsi="Verdana" w:cstheme="minorBidi"/>
          <w:sz w:val="24"/>
          <w:szCs w:val="24"/>
        </w:rPr>
        <w:t xml:space="preserve">.1 </w:t>
      </w:r>
      <w:r w:rsidR="2ED98071" w:rsidRPr="136F3BEB">
        <w:rPr>
          <w:rFonts w:ascii="Verdana" w:eastAsiaTheme="minorEastAsia" w:hAnsi="Verdana" w:cstheme="minorBidi"/>
          <w:sz w:val="24"/>
          <w:szCs w:val="24"/>
        </w:rPr>
        <w:t>31ten</w:t>
      </w:r>
      <w:bookmarkEnd w:id="76"/>
    </w:p>
    <w:p w14:paraId="12BCB955" w14:textId="77777777" w:rsidR="00B8147E" w:rsidRPr="008D6AC4" w:rsidRDefault="00B8147E" w:rsidP="00B8147E">
      <w:pPr>
        <w:jc w:val="both"/>
        <w:rPr>
          <w:rFonts w:ascii="Verdana" w:hAnsi="Verdana"/>
          <w:sz w:val="22"/>
          <w:szCs w:val="22"/>
        </w:rPr>
      </w:pPr>
      <w:r w:rsidRPr="008D6AC4">
        <w:rPr>
          <w:rFonts w:ascii="Verdana" w:hAnsi="Verdana"/>
          <w:sz w:val="22"/>
          <w:szCs w:val="22"/>
        </w:rPr>
        <w:t xml:space="preserve">Kent County Council commissioned insights into its public health services in 2024, including sexual health. </w:t>
      </w:r>
    </w:p>
    <w:p w14:paraId="6D1EA5E0" w14:textId="77777777" w:rsidR="00B8147E" w:rsidRPr="008D6AC4" w:rsidRDefault="00B8147E" w:rsidP="00B8147E">
      <w:pPr>
        <w:jc w:val="both"/>
        <w:rPr>
          <w:rFonts w:ascii="Verdana" w:hAnsi="Verdana"/>
          <w:sz w:val="22"/>
          <w:szCs w:val="22"/>
        </w:rPr>
      </w:pPr>
      <w:r w:rsidRPr="008D6AC4">
        <w:rPr>
          <w:rFonts w:ascii="Verdana" w:hAnsi="Verdana"/>
          <w:sz w:val="22"/>
          <w:szCs w:val="22"/>
        </w:rPr>
        <w:t xml:space="preserve">This work demonstrated that, overall, sexual health services in Kent are meeting the needs of many people. Kent residents appreciate the opportunity to access services both online and face-to-face, at a variety of times and locations, and with the option to visit clinics outside of their local area if they wish. They also value the expertise of the staff. </w:t>
      </w:r>
    </w:p>
    <w:p w14:paraId="4BCE84D3" w14:textId="77777777" w:rsidR="00B8147E" w:rsidRPr="008D6AC4" w:rsidRDefault="00B8147E" w:rsidP="00B8147E">
      <w:pPr>
        <w:jc w:val="both"/>
        <w:rPr>
          <w:rFonts w:ascii="Verdana" w:hAnsi="Verdana"/>
          <w:sz w:val="22"/>
          <w:szCs w:val="22"/>
        </w:rPr>
      </w:pPr>
      <w:r w:rsidRPr="008D6AC4">
        <w:rPr>
          <w:rFonts w:ascii="Verdana" w:hAnsi="Verdana"/>
          <w:sz w:val="22"/>
          <w:szCs w:val="22"/>
        </w:rPr>
        <w:t xml:space="preserve">However, what was highlighted was that since the pandemic, residents of Kent need an update in information about sexual health clinics. This would include, where they are open, when they are open, and how they can access them. </w:t>
      </w:r>
    </w:p>
    <w:p w14:paraId="4CCA75A2" w14:textId="77777777" w:rsidR="00B8147E" w:rsidRPr="008D6AC4" w:rsidRDefault="00B8147E" w:rsidP="00B8147E">
      <w:pPr>
        <w:jc w:val="both"/>
        <w:rPr>
          <w:rFonts w:ascii="Verdana" w:hAnsi="Verdana"/>
          <w:sz w:val="22"/>
          <w:szCs w:val="22"/>
        </w:rPr>
      </w:pPr>
      <w:r w:rsidRPr="008D6AC4">
        <w:rPr>
          <w:rFonts w:ascii="Verdana" w:hAnsi="Verdana"/>
          <w:sz w:val="22"/>
          <w:szCs w:val="22"/>
        </w:rPr>
        <w:lastRenderedPageBreak/>
        <w:t xml:space="preserve">Feedback was also given that an increase in social media marketing and wider communications would increase awareness of the services, reduce barriers to accessing services and reduce stigma. </w:t>
      </w:r>
    </w:p>
    <w:p w14:paraId="0E0F9FAC" w14:textId="77777777" w:rsidR="00B8147E" w:rsidRPr="008D6AC4" w:rsidRDefault="00B8147E" w:rsidP="00B8147E">
      <w:pPr>
        <w:jc w:val="both"/>
        <w:rPr>
          <w:rFonts w:ascii="Verdana" w:hAnsi="Verdana"/>
          <w:sz w:val="22"/>
          <w:szCs w:val="22"/>
        </w:rPr>
      </w:pPr>
      <w:r w:rsidRPr="008D6AC4">
        <w:rPr>
          <w:rFonts w:ascii="Verdana" w:hAnsi="Verdana"/>
          <w:sz w:val="22"/>
          <w:szCs w:val="22"/>
        </w:rPr>
        <w:t xml:space="preserve">Key groups that were identified as feeling that improvements could be made for them was the LGBTQ+ groups who asked for better education, particularly women who have sex with women, and groups who feel that greater understanding of their culture would support them in feeling more able to access sexual health services. </w:t>
      </w:r>
    </w:p>
    <w:p w14:paraId="086D3878" w14:textId="77777777" w:rsidR="00B8147E" w:rsidRPr="008D6AC4" w:rsidRDefault="7BAFBE31" w:rsidP="00B8147E">
      <w:pPr>
        <w:jc w:val="both"/>
        <w:rPr>
          <w:rFonts w:ascii="Verdana" w:hAnsi="Verdana"/>
          <w:sz w:val="22"/>
          <w:szCs w:val="22"/>
        </w:rPr>
      </w:pPr>
      <w:r w:rsidRPr="136F3BEB">
        <w:rPr>
          <w:rFonts w:ascii="Verdana" w:hAnsi="Verdana"/>
          <w:b/>
          <w:bCs/>
          <w:sz w:val="22"/>
          <w:szCs w:val="22"/>
        </w:rPr>
        <w:t>Figure 1</w:t>
      </w:r>
      <w:r w:rsidR="6B5B7F2F" w:rsidRPr="136F3BEB">
        <w:rPr>
          <w:rFonts w:ascii="Verdana" w:hAnsi="Verdana"/>
          <w:b/>
          <w:bCs/>
          <w:sz w:val="22"/>
          <w:szCs w:val="22"/>
        </w:rPr>
        <w:t>9</w:t>
      </w:r>
      <w:r w:rsidRPr="136F3BEB">
        <w:rPr>
          <w:rFonts w:ascii="Verdana" w:hAnsi="Verdana"/>
          <w:sz w:val="22"/>
          <w:szCs w:val="22"/>
        </w:rPr>
        <w:t xml:space="preserve"> shows a table of the key findings and recommendations as written by 31ten consultancy who conducted the insights. </w:t>
      </w:r>
    </w:p>
    <w:p w14:paraId="611C02CC" w14:textId="585FB968" w:rsidR="00B8147E" w:rsidRPr="008D6AC4" w:rsidRDefault="7BAFBE31" w:rsidP="00B8147E">
      <w:pPr>
        <w:rPr>
          <w:rFonts w:ascii="Verdana" w:hAnsi="Verdana"/>
          <w:b/>
          <w:bCs/>
          <w:sz w:val="22"/>
          <w:szCs w:val="22"/>
        </w:rPr>
      </w:pPr>
      <w:r w:rsidRPr="008D6AC4">
        <w:rPr>
          <w:rFonts w:ascii="Verdana" w:hAnsi="Verdana"/>
          <w:b/>
          <w:bCs/>
          <w:sz w:val="22"/>
          <w:szCs w:val="22"/>
        </w:rPr>
        <w:t>Figure 1</w:t>
      </w:r>
      <w:r w:rsidR="34213E80" w:rsidRPr="008D6AC4">
        <w:rPr>
          <w:rFonts w:ascii="Verdana" w:hAnsi="Verdana"/>
          <w:b/>
          <w:bCs/>
          <w:sz w:val="22"/>
          <w:szCs w:val="22"/>
        </w:rPr>
        <w:t>9</w:t>
      </w:r>
      <w:r w:rsidRPr="008D6AC4">
        <w:rPr>
          <w:rFonts w:ascii="Verdana" w:hAnsi="Verdana"/>
          <w:b/>
          <w:bCs/>
          <w:sz w:val="22"/>
          <w:szCs w:val="22"/>
        </w:rPr>
        <w:t>: Overall findings and recommendations from the 31ten consultancy insights work</w:t>
      </w:r>
    </w:p>
    <w:p w14:paraId="0AA43696" w14:textId="27893F47" w:rsidR="00B8147E" w:rsidRDefault="00121328" w:rsidP="136F3BEB">
      <w:pPr>
        <w:rPr>
          <w:rFonts w:ascii="Verdana" w:hAnsi="Verdana"/>
          <w:sz w:val="22"/>
          <w:szCs w:val="22"/>
        </w:rPr>
      </w:pPr>
      <w:r w:rsidRPr="008D6AC4">
        <w:rPr>
          <w:rFonts w:ascii="Verdana" w:hAnsi="Verdana"/>
          <w:noProof/>
          <w:color w:val="2B579A"/>
          <w:shd w:val="clear" w:color="auto" w:fill="E6E6E6"/>
        </w:rPr>
        <w:drawing>
          <wp:inline distT="0" distB="0" distL="0" distR="0" wp14:anchorId="574D5D56" wp14:editId="0400A40B">
            <wp:extent cx="6092825" cy="3225800"/>
            <wp:effectExtent l="0" t="0" r="3175" b="0"/>
            <wp:docPr id="137754920" name="Picture 137754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4920" name="Picture 137754920">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092825" cy="3225800"/>
                    </a:xfrm>
                    <a:prstGeom prst="rect">
                      <a:avLst/>
                    </a:prstGeom>
                  </pic:spPr>
                </pic:pic>
              </a:graphicData>
            </a:graphic>
          </wp:inline>
        </w:drawing>
      </w:r>
    </w:p>
    <w:p w14:paraId="75610EFF" w14:textId="77777777" w:rsidR="00121328" w:rsidRPr="008D6AC4" w:rsidRDefault="00121328" w:rsidP="136F3BEB">
      <w:pPr>
        <w:rPr>
          <w:rFonts w:ascii="Verdana" w:hAnsi="Verdana"/>
          <w:sz w:val="22"/>
          <w:szCs w:val="22"/>
        </w:rPr>
      </w:pPr>
    </w:p>
    <w:p w14:paraId="58CED03D" w14:textId="77777777" w:rsidR="00B8147E" w:rsidRPr="008D6AC4" w:rsidRDefault="00B8147E" w:rsidP="00B8147E">
      <w:pPr>
        <w:jc w:val="both"/>
        <w:rPr>
          <w:rFonts w:ascii="Verdana" w:hAnsi="Verdana"/>
          <w:sz w:val="22"/>
          <w:szCs w:val="22"/>
        </w:rPr>
      </w:pPr>
      <w:r w:rsidRPr="008D6AC4">
        <w:rPr>
          <w:rFonts w:ascii="Verdana" w:hAnsi="Verdana"/>
          <w:sz w:val="22"/>
          <w:szCs w:val="22"/>
        </w:rPr>
        <w:t xml:space="preserve">The results of the insights research </w:t>
      </w:r>
      <w:r w:rsidR="79A435B3" w:rsidRPr="008D6AC4">
        <w:rPr>
          <w:rFonts w:ascii="Verdana" w:hAnsi="Verdana"/>
          <w:sz w:val="22"/>
          <w:szCs w:val="22"/>
        </w:rPr>
        <w:t>have</w:t>
      </w:r>
      <w:r w:rsidRPr="008D6AC4">
        <w:rPr>
          <w:rFonts w:ascii="Verdana" w:hAnsi="Verdana"/>
          <w:sz w:val="22"/>
          <w:szCs w:val="22"/>
        </w:rPr>
        <w:t xml:space="preserve"> been helpful in cementing some of what we already knew anecdotally and added some further information and context into vulnerable groups. However, the sample size was very small and did not cover all districts in Kent. Therefore, it is recommended that further research and insights are undertaken to support greater understanding of sexual health needs in Kent. </w:t>
      </w:r>
    </w:p>
    <w:p w14:paraId="11179366" w14:textId="77777777" w:rsidR="00B8147E" w:rsidRPr="008D6AC4" w:rsidRDefault="00B8147E" w:rsidP="00B8147E">
      <w:pPr>
        <w:jc w:val="both"/>
        <w:rPr>
          <w:rFonts w:ascii="Verdana" w:hAnsi="Verdana"/>
          <w:sz w:val="22"/>
          <w:szCs w:val="22"/>
        </w:rPr>
      </w:pPr>
      <w:r w:rsidRPr="008D6AC4">
        <w:rPr>
          <w:rFonts w:ascii="Verdana" w:hAnsi="Verdana"/>
          <w:sz w:val="22"/>
          <w:szCs w:val="22"/>
        </w:rPr>
        <w:t xml:space="preserve">There are further insight projects from wider partners that are applicable to Kent. The UKHSA recently undertook an insights piece into LGBTQ+ communities and their barriers to seeking support and following advice as is mentioned in above sections. This research did highlight some overarching considerations, however. Neurodiverse participants for example reported that having difficulties with the appointment booking process was a barrier to seeking help. Whilst the </w:t>
      </w:r>
      <w:r w:rsidRPr="008D6AC4">
        <w:rPr>
          <w:rFonts w:ascii="Verdana" w:hAnsi="Verdana"/>
          <w:sz w:val="22"/>
          <w:szCs w:val="22"/>
        </w:rPr>
        <w:lastRenderedPageBreak/>
        <w:t xml:space="preserve">use of different technologies was reported as enhancing experiences and reducing barriers. </w:t>
      </w:r>
    </w:p>
    <w:p w14:paraId="507E5E5C" w14:textId="77777777" w:rsidR="00B8147E" w:rsidRPr="008D6AC4" w:rsidRDefault="00B8147E" w:rsidP="00B8147E">
      <w:pPr>
        <w:jc w:val="both"/>
        <w:rPr>
          <w:rFonts w:ascii="Verdana" w:hAnsi="Verdana"/>
          <w:sz w:val="22"/>
          <w:szCs w:val="22"/>
        </w:rPr>
      </w:pPr>
      <w:r w:rsidRPr="008D6AC4">
        <w:rPr>
          <w:rFonts w:ascii="Verdana" w:hAnsi="Verdana"/>
          <w:sz w:val="22"/>
          <w:szCs w:val="22"/>
        </w:rPr>
        <w:t xml:space="preserve">Participants reported having access to peer support roles within services would be of great value, which was also echoed in the KCC insights. Alongside, clinics that were specifically for different groups were seen as valuable, for example, sex workers, LGBTQ+, and people experiencing homelessness. </w:t>
      </w:r>
    </w:p>
    <w:p w14:paraId="1AF6D301" w14:textId="77777777" w:rsidR="00B8147E" w:rsidRPr="0089791B" w:rsidRDefault="00CEA897" w:rsidP="136F3BEB">
      <w:pPr>
        <w:pStyle w:val="Heading2"/>
        <w:numPr>
          <w:ilvl w:val="0"/>
          <w:numId w:val="0"/>
        </w:numPr>
        <w:rPr>
          <w:rFonts w:ascii="Verdana" w:eastAsiaTheme="minorEastAsia" w:hAnsi="Verdana" w:cstheme="minorBidi"/>
          <w:sz w:val="24"/>
          <w:szCs w:val="24"/>
        </w:rPr>
      </w:pPr>
      <w:bookmarkStart w:id="77" w:name="_Toc1834428157"/>
      <w:r w:rsidRPr="136F3BEB">
        <w:rPr>
          <w:rFonts w:ascii="Verdana" w:eastAsiaTheme="minorEastAsia" w:hAnsi="Verdana" w:cstheme="minorBidi"/>
          <w:sz w:val="24"/>
          <w:szCs w:val="24"/>
        </w:rPr>
        <w:t>8</w:t>
      </w:r>
      <w:r w:rsidR="242935C4" w:rsidRPr="136F3BEB">
        <w:rPr>
          <w:rFonts w:ascii="Verdana" w:eastAsiaTheme="minorEastAsia" w:hAnsi="Verdana" w:cstheme="minorBidi"/>
          <w:sz w:val="24"/>
          <w:szCs w:val="24"/>
        </w:rPr>
        <w:t xml:space="preserve">.2 </w:t>
      </w:r>
      <w:r w:rsidR="2ED98071" w:rsidRPr="136F3BEB">
        <w:rPr>
          <w:rFonts w:ascii="Verdana" w:eastAsiaTheme="minorEastAsia" w:hAnsi="Verdana" w:cstheme="minorBidi"/>
          <w:sz w:val="24"/>
          <w:szCs w:val="24"/>
        </w:rPr>
        <w:t>NATSAL</w:t>
      </w:r>
      <w:bookmarkEnd w:id="77"/>
    </w:p>
    <w:p w14:paraId="0A099034" w14:textId="77777777" w:rsidR="00B8147E" w:rsidRPr="008D6AC4" w:rsidRDefault="6D21AE58" w:rsidP="00B8147E">
      <w:pPr>
        <w:jc w:val="both"/>
        <w:rPr>
          <w:rFonts w:ascii="Verdana" w:hAnsi="Verdana"/>
          <w:sz w:val="22"/>
          <w:szCs w:val="22"/>
        </w:rPr>
      </w:pPr>
      <w:r w:rsidRPr="008D6AC4">
        <w:rPr>
          <w:rFonts w:ascii="Verdana" w:hAnsi="Verdana"/>
          <w:sz w:val="22"/>
          <w:szCs w:val="22"/>
        </w:rPr>
        <w:t>The National Survey of Sexual Attitudes and Lifestyles (Natsal-Covid) survey collects data relating to the sexual behaviour and patterns of people living in the UK</w:t>
      </w:r>
      <w:r w:rsidR="00B8147E" w:rsidRPr="008D6AC4">
        <w:rPr>
          <w:rStyle w:val="FootnoteReference"/>
          <w:rFonts w:ascii="Verdana" w:hAnsi="Verdana"/>
          <w:sz w:val="22"/>
          <w:szCs w:val="22"/>
        </w:rPr>
        <w:footnoteReference w:id="103"/>
      </w:r>
      <w:r w:rsidRPr="008D6AC4">
        <w:rPr>
          <w:rFonts w:ascii="Verdana" w:hAnsi="Verdana"/>
          <w:sz w:val="22"/>
          <w:szCs w:val="22"/>
        </w:rPr>
        <w:t xml:space="preserve">. Kent residents were included in the survey results, but it isn’t clear to what extent. </w:t>
      </w:r>
    </w:p>
    <w:p w14:paraId="2BEDCF44" w14:textId="77777777" w:rsidR="00B8147E" w:rsidRPr="008D6AC4" w:rsidRDefault="6D21AE58" w:rsidP="00B8147E">
      <w:pPr>
        <w:jc w:val="both"/>
        <w:rPr>
          <w:rFonts w:ascii="Verdana" w:hAnsi="Verdana"/>
          <w:sz w:val="22"/>
          <w:szCs w:val="22"/>
        </w:rPr>
      </w:pPr>
      <w:r w:rsidRPr="008D6AC4">
        <w:rPr>
          <w:rFonts w:ascii="Verdana" w:hAnsi="Verdana"/>
          <w:sz w:val="22"/>
          <w:szCs w:val="22"/>
        </w:rPr>
        <w:t>Two surveys were conducted amongst British residents aged 18 to 59 between July and August 2020 (wave 1) and March and April 2021 (wave 2). Questions covered participants' sexual behaviour, relationships, and sexual health service (SHS) use before and during the COVD pandemic. In wave 1, 6,654 participants completed the survey and 6,658 did so in wave 2. Sexual attitudes and experiences were affected by the pandemic, with difficulty accessing sexual health services and reduced use of condoms reported</w:t>
      </w:r>
      <w:r w:rsidR="00B8147E" w:rsidRPr="008D6AC4">
        <w:rPr>
          <w:rStyle w:val="FootnoteReference"/>
          <w:rFonts w:ascii="Verdana" w:hAnsi="Verdana"/>
          <w:sz w:val="22"/>
          <w:szCs w:val="22"/>
        </w:rPr>
        <w:footnoteReference w:id="104"/>
      </w:r>
      <w:r w:rsidRPr="008D6AC4">
        <w:rPr>
          <w:rFonts w:ascii="Verdana" w:hAnsi="Verdana"/>
          <w:sz w:val="22"/>
          <w:szCs w:val="22"/>
        </w:rPr>
        <w:t>.</w:t>
      </w:r>
    </w:p>
    <w:p w14:paraId="5D353C44" w14:textId="77777777" w:rsidR="00B8147E" w:rsidRPr="008D6AC4" w:rsidRDefault="00B8147E" w:rsidP="00B8147E">
      <w:pPr>
        <w:jc w:val="both"/>
        <w:rPr>
          <w:rFonts w:ascii="Verdana" w:hAnsi="Verdana"/>
          <w:sz w:val="22"/>
          <w:szCs w:val="22"/>
        </w:rPr>
      </w:pPr>
      <w:r w:rsidRPr="008D6AC4">
        <w:rPr>
          <w:rFonts w:ascii="Verdana" w:hAnsi="Verdana"/>
          <w:sz w:val="22"/>
          <w:szCs w:val="22"/>
        </w:rPr>
        <w:t xml:space="preserve">Results from wave 1 showed that of those who used any method of contraception, only 4.8% (320) of participants reported using condoms since lockdown. Only 6.9% (460) of participants used contraception services or advice since the start of the national lockdown. A small number used other services such as fertility services (1.6% [105]), STI follow up care (0.7% [45]), relationship services (0.9% [62]) and counselling services (0.7% [49]). 3.1% (205) of participants accessed at least one STI service. Reasons listed for why participants could not access services include: appointment cancellation, service closures and not feeling comfortable using online or telephone services where available. </w:t>
      </w:r>
    </w:p>
    <w:p w14:paraId="5E55F15D" w14:textId="77777777" w:rsidR="00B8147E" w:rsidRPr="008D6AC4" w:rsidRDefault="00B8147E" w:rsidP="00B8147E">
      <w:pPr>
        <w:jc w:val="both"/>
        <w:rPr>
          <w:rFonts w:ascii="Verdana" w:hAnsi="Verdana"/>
          <w:sz w:val="22"/>
          <w:szCs w:val="22"/>
        </w:rPr>
      </w:pPr>
      <w:r w:rsidRPr="008D6AC4">
        <w:rPr>
          <w:rFonts w:ascii="Verdana" w:hAnsi="Verdana"/>
          <w:sz w:val="22"/>
          <w:szCs w:val="22"/>
        </w:rPr>
        <w:t>Wave 2 results found that of those who used any method of contraception, 6.7% (443) of them used condoms before lockdown. 56.9% (3,789) of participants had sexual physical contact with someone they were living with since the start of the first lockdown on 23</w:t>
      </w:r>
      <w:r w:rsidRPr="008D6AC4">
        <w:rPr>
          <w:rFonts w:ascii="Verdana" w:hAnsi="Verdana"/>
          <w:sz w:val="22"/>
          <w:szCs w:val="22"/>
          <w:vertAlign w:val="superscript"/>
        </w:rPr>
        <w:t>rd</w:t>
      </w:r>
      <w:r w:rsidRPr="008D6AC4">
        <w:rPr>
          <w:rFonts w:ascii="Verdana" w:hAnsi="Verdana"/>
          <w:sz w:val="22"/>
          <w:szCs w:val="22"/>
        </w:rPr>
        <w:t xml:space="preserve"> March 2020 and 18.6% (1,236) had sexual contact with someone they were not living with. 22.8% (1,516) participants accessed at </w:t>
      </w:r>
      <w:r w:rsidRPr="008D6AC4">
        <w:rPr>
          <w:rFonts w:ascii="Verdana" w:hAnsi="Verdana"/>
          <w:sz w:val="22"/>
          <w:szCs w:val="22"/>
        </w:rPr>
        <w:lastRenderedPageBreak/>
        <w:t xml:space="preserve">least one sexual health service since the start of lockdown and 53.1% (3,536) said their sexual health was important to them compared to 34.2% (2,276) that reported little importance to their sexual health. </w:t>
      </w:r>
    </w:p>
    <w:p w14:paraId="221975DF" w14:textId="77777777" w:rsidR="00B8147E" w:rsidRPr="008D6AC4" w:rsidRDefault="26AA3103" w:rsidP="00B8147E">
      <w:pPr>
        <w:jc w:val="both"/>
        <w:rPr>
          <w:rFonts w:ascii="Verdana" w:hAnsi="Verdana"/>
          <w:sz w:val="22"/>
          <w:szCs w:val="22"/>
        </w:rPr>
      </w:pPr>
      <w:r w:rsidRPr="008D6AC4">
        <w:rPr>
          <w:rFonts w:ascii="Verdana" w:hAnsi="Verdana"/>
          <w:sz w:val="22"/>
          <w:szCs w:val="22"/>
        </w:rPr>
        <w:t xml:space="preserve">24% (1,599) of participants reported feelings of fear based on the words or actions of a partner or ex-partner and 3.9% (257) said the pandemic made intimate partner violence worse. </w:t>
      </w:r>
      <w:r w:rsidR="0483943C" w:rsidRPr="008D6AC4">
        <w:rPr>
          <w:rFonts w:ascii="Verdana" w:eastAsia="Verdana" w:hAnsi="Verdana" w:cs="Verdana"/>
          <w:sz w:val="22"/>
          <w:szCs w:val="22"/>
        </w:rPr>
        <w:t xml:space="preserve">The results of wave 2 were also compared with a previous study (Natsal-3) carried out in 2010-12 and national surveillance data for 2010-2098. This found fewer participants reporting a new partner, lower chlamydia testing, and fewer pregnancies and abortions, suggesting that the pandemic contributed to these reductions. However, distress and dissatisfaction with one’s sex life were significantly higher than 10 years previously.  </w:t>
      </w:r>
    </w:p>
    <w:p w14:paraId="45CBB3DE" w14:textId="77777777" w:rsidR="00B8147E" w:rsidRPr="008D6AC4" w:rsidRDefault="6D21AE58" w:rsidP="00B8147E">
      <w:pPr>
        <w:jc w:val="both"/>
        <w:rPr>
          <w:rFonts w:ascii="Verdana" w:hAnsi="Verdana"/>
          <w:sz w:val="22"/>
          <w:szCs w:val="22"/>
        </w:rPr>
      </w:pPr>
      <w:r w:rsidRPr="008D6AC4">
        <w:rPr>
          <w:rFonts w:ascii="Verdana" w:hAnsi="Verdana"/>
          <w:sz w:val="22"/>
          <w:szCs w:val="22"/>
        </w:rPr>
        <w:t>T</w:t>
      </w:r>
      <w:r w:rsidR="2A7A66FC" w:rsidRPr="008D6AC4">
        <w:rPr>
          <w:rFonts w:ascii="Verdana" w:hAnsi="Verdana"/>
          <w:sz w:val="22"/>
          <w:szCs w:val="22"/>
        </w:rPr>
        <w:t xml:space="preserve">he Natsal study </w:t>
      </w:r>
      <w:r w:rsidRPr="008D6AC4">
        <w:rPr>
          <w:rFonts w:ascii="Verdana" w:hAnsi="Verdana"/>
          <w:sz w:val="22"/>
          <w:szCs w:val="22"/>
        </w:rPr>
        <w:t>was supported with findings from The Women’s Health Strategy survey</w:t>
      </w:r>
      <w:r w:rsidR="00B8147E" w:rsidRPr="008D6AC4">
        <w:rPr>
          <w:rStyle w:val="FootnoteReference"/>
          <w:rFonts w:ascii="Verdana" w:hAnsi="Verdana"/>
          <w:sz w:val="22"/>
          <w:szCs w:val="22"/>
        </w:rPr>
        <w:footnoteReference w:id="105"/>
      </w:r>
      <w:r w:rsidRPr="008D6AC4">
        <w:rPr>
          <w:rFonts w:ascii="Verdana" w:hAnsi="Verdana"/>
          <w:sz w:val="22"/>
          <w:szCs w:val="22"/>
        </w:rPr>
        <w:t xml:space="preserve"> that reported that less than half (40%) of women have clinics available to them in a convenient location, and 24% say that they can access services at a time that is convenient for them. Furthermore, 74% of respondents said that the Covid-19 pandemic was the reason that access and convenience had been directly, and negatively impacted. The women’s health strategy survey had nearly 100,000 contributions from across the country so is a generalisable and reliable source of thoughts, attitudes, and experiences of women in the UK. </w:t>
      </w:r>
    </w:p>
    <w:p w14:paraId="32C02CE8" w14:textId="77777777" w:rsidR="005D24F2" w:rsidRPr="008D6AC4" w:rsidRDefault="00B8147E" w:rsidP="00B8147E">
      <w:pPr>
        <w:jc w:val="both"/>
        <w:rPr>
          <w:rFonts w:ascii="Verdana" w:hAnsi="Verdana"/>
          <w:sz w:val="22"/>
          <w:szCs w:val="22"/>
        </w:rPr>
      </w:pPr>
      <w:r w:rsidRPr="008D6AC4">
        <w:rPr>
          <w:rFonts w:ascii="Verdana" w:hAnsi="Verdana"/>
          <w:sz w:val="22"/>
          <w:szCs w:val="22"/>
        </w:rPr>
        <w:t xml:space="preserve">Locally, however, understanding the needs of the population is a knowledge and evidence gap. This needs assessment therefore recommends that Kent County Council, and the Kent sexual health network aim to increase insights from residents, users and non-users of services, and those who have sexual health needs in Kent. </w:t>
      </w:r>
    </w:p>
    <w:p w14:paraId="11879148" w14:textId="77777777" w:rsidR="00651918" w:rsidRPr="008D6AC4" w:rsidRDefault="675DF872">
      <w:pPr>
        <w:rPr>
          <w:rFonts w:ascii="Verdana" w:hAnsi="Verdana"/>
        </w:rPr>
      </w:pPr>
      <w:r w:rsidRPr="008D6AC4">
        <w:rPr>
          <w:rFonts w:ascii="Verdana" w:hAnsi="Verdana"/>
          <w:sz w:val="22"/>
          <w:szCs w:val="22"/>
        </w:rPr>
        <w:t>The release of the Natsal 4 survey will help in understanding whether changes reported during the pandemic are persisting, or whether they have evolved or altered since. When the survey is released, Kent will analyse this information and apply the knowledge to local need and local insights to inform direction moving</w:t>
      </w:r>
      <w:r w:rsidR="007F2B0C" w:rsidRPr="008D6AC4">
        <w:rPr>
          <w:rFonts w:ascii="Verdana" w:hAnsi="Verdana"/>
          <w:sz w:val="22"/>
          <w:szCs w:val="22"/>
        </w:rPr>
        <w:t xml:space="preserve"> </w:t>
      </w:r>
      <w:r w:rsidRPr="008D6AC4">
        <w:rPr>
          <w:rFonts w:ascii="Verdana" w:hAnsi="Verdana"/>
          <w:sz w:val="22"/>
          <w:szCs w:val="22"/>
        </w:rPr>
        <w:t xml:space="preserve">forward. </w:t>
      </w:r>
    </w:p>
    <w:p w14:paraId="18DD3832" w14:textId="77777777" w:rsidR="00651918" w:rsidRPr="008D6AC4" w:rsidRDefault="00651918">
      <w:pPr>
        <w:rPr>
          <w:rFonts w:ascii="Verdana" w:hAnsi="Verdana"/>
        </w:rPr>
      </w:pPr>
    </w:p>
    <w:p w14:paraId="79C1A31D" w14:textId="77777777" w:rsidR="4A0F6D8A" w:rsidRPr="0089791B" w:rsidRDefault="0F9D61DE">
      <w:pPr>
        <w:rPr>
          <w:rFonts w:ascii="Verdana" w:hAnsi="Verdana"/>
          <w:sz w:val="22"/>
          <w:szCs w:val="22"/>
        </w:rPr>
      </w:pPr>
      <w:bookmarkStart w:id="78" w:name="_Toc942315140"/>
      <w:r w:rsidRPr="136F3BEB">
        <w:rPr>
          <w:rStyle w:val="Heading2Char"/>
          <w:rFonts w:ascii="Verdana" w:hAnsi="Verdana"/>
          <w:sz w:val="24"/>
          <w:szCs w:val="24"/>
        </w:rPr>
        <w:t>8</w:t>
      </w:r>
      <w:r w:rsidR="6114DABF" w:rsidRPr="136F3BEB">
        <w:rPr>
          <w:rStyle w:val="Heading2Char"/>
          <w:rFonts w:ascii="Verdana" w:hAnsi="Verdana"/>
          <w:sz w:val="24"/>
          <w:szCs w:val="24"/>
        </w:rPr>
        <w:t>.3 Metro Charity Young People’s survey</w:t>
      </w:r>
      <w:bookmarkEnd w:id="78"/>
    </w:p>
    <w:p w14:paraId="149B7E48" w14:textId="77777777" w:rsidR="7A24316F" w:rsidRPr="008D6AC4" w:rsidRDefault="7A24316F" w:rsidP="49636075">
      <w:pPr>
        <w:jc w:val="both"/>
        <w:rPr>
          <w:rFonts w:ascii="Verdana" w:eastAsia="Verdana" w:hAnsi="Verdana" w:cs="Verdana"/>
          <w:sz w:val="22"/>
          <w:szCs w:val="22"/>
        </w:rPr>
      </w:pPr>
      <w:r w:rsidRPr="008D6AC4">
        <w:rPr>
          <w:rFonts w:ascii="Verdana" w:eastAsia="Verdana" w:hAnsi="Verdana" w:cs="Verdana"/>
          <w:sz w:val="22"/>
          <w:szCs w:val="22"/>
        </w:rPr>
        <w:t xml:space="preserve">Metro charity conducted a survey of 312 young people in Kent to find out more about their knowledge of sexual health and sexual health services in Kent. </w:t>
      </w:r>
    </w:p>
    <w:p w14:paraId="2C48559E" w14:textId="77777777" w:rsidR="4DB9380F" w:rsidRPr="008D6AC4" w:rsidRDefault="1D3EFCCF" w:rsidP="49636075">
      <w:pPr>
        <w:jc w:val="both"/>
        <w:rPr>
          <w:rFonts w:ascii="Verdana" w:eastAsia="Verdana" w:hAnsi="Verdana" w:cs="Verdana"/>
          <w:sz w:val="22"/>
          <w:szCs w:val="22"/>
        </w:rPr>
      </w:pPr>
      <w:r w:rsidRPr="008D6AC4">
        <w:rPr>
          <w:rFonts w:ascii="Verdana" w:eastAsia="Verdana" w:hAnsi="Verdana" w:cs="Verdana"/>
          <w:sz w:val="22"/>
          <w:szCs w:val="22"/>
        </w:rPr>
        <w:t xml:space="preserve">59% of sexually active respondents said that they had never had an STI test. 13% said that they would take an STI test when they felt they needed one, and </w:t>
      </w:r>
      <w:r w:rsidRPr="008D6AC4">
        <w:rPr>
          <w:rFonts w:ascii="Verdana" w:eastAsia="Verdana" w:hAnsi="Verdana" w:cs="Verdana"/>
          <w:sz w:val="22"/>
          <w:szCs w:val="22"/>
        </w:rPr>
        <w:lastRenderedPageBreak/>
        <w:t>5% said they would take an STI test with every new partner. Only 13% said they would take an STI test every three months, and 5% said they would take an STI test every six months.</w:t>
      </w:r>
      <w:r w:rsidR="13F56FE1" w:rsidRPr="008D6AC4">
        <w:rPr>
          <w:rFonts w:ascii="Verdana" w:eastAsia="Verdana" w:hAnsi="Verdana" w:cs="Verdana"/>
          <w:sz w:val="22"/>
          <w:szCs w:val="22"/>
        </w:rPr>
        <w:t xml:space="preserve"> Therefore, this supports earlier recommendations in this report that </w:t>
      </w:r>
      <w:r w:rsidR="07266FFC" w:rsidRPr="008D6AC4">
        <w:rPr>
          <w:rFonts w:ascii="Verdana" w:eastAsia="Verdana" w:hAnsi="Verdana" w:cs="Verdana"/>
          <w:sz w:val="22"/>
          <w:szCs w:val="22"/>
        </w:rPr>
        <w:t>emphasise</w:t>
      </w:r>
      <w:r w:rsidR="13F56FE1" w:rsidRPr="008D6AC4">
        <w:rPr>
          <w:rFonts w:ascii="Verdana" w:eastAsia="Verdana" w:hAnsi="Verdana" w:cs="Verdana"/>
          <w:sz w:val="22"/>
          <w:szCs w:val="22"/>
        </w:rPr>
        <w:t xml:space="preserve"> good quality relationship and sex education alongside awareness raising of how and when to test for STI’s is important for supporting good sexual health in young people. </w:t>
      </w:r>
    </w:p>
    <w:p w14:paraId="6E09507C" w14:textId="77777777" w:rsidR="69323E11" w:rsidRPr="008D6AC4" w:rsidRDefault="1F624448" w:rsidP="49636075">
      <w:pPr>
        <w:spacing w:before="0" w:after="0"/>
        <w:jc w:val="both"/>
        <w:rPr>
          <w:rFonts w:ascii="Verdana" w:eastAsia="Verdana" w:hAnsi="Verdana" w:cs="Verdana"/>
          <w:sz w:val="22"/>
          <w:szCs w:val="22"/>
        </w:rPr>
      </w:pPr>
      <w:r w:rsidRPr="008D6AC4">
        <w:rPr>
          <w:rFonts w:ascii="Verdana" w:eastAsia="Verdana" w:hAnsi="Verdana" w:cs="Verdana"/>
          <w:sz w:val="22"/>
          <w:szCs w:val="22"/>
        </w:rPr>
        <w:t>A number of sexually active respondents noted that they did not always use condoms when they had sex. The most common reason for this among girls was that they were using alternative contraception, so they felt they did not need to use condoms (46% of girls who answered this question gave alternative contraception use as a reason). Other reasons that were common about both girls and boys were that their sex was spontaneous or unplanned (23% of girls and 40% of boys) and that there were no condoms available at the time (20% of girls and 60% of boys).</w:t>
      </w:r>
    </w:p>
    <w:p w14:paraId="766186D3" w14:textId="77777777" w:rsidR="0AABE82A" w:rsidRPr="008D6AC4" w:rsidRDefault="15AD94CC" w:rsidP="5DAAB0BE">
      <w:pPr>
        <w:jc w:val="both"/>
        <w:rPr>
          <w:rFonts w:ascii="Verdana" w:eastAsia="Verdana" w:hAnsi="Verdana" w:cs="Verdana"/>
          <w:sz w:val="22"/>
          <w:szCs w:val="22"/>
        </w:rPr>
      </w:pPr>
      <w:r w:rsidRPr="008D6AC4">
        <w:rPr>
          <w:rFonts w:ascii="Verdana" w:eastAsia="Verdana" w:hAnsi="Verdana" w:cs="Verdana"/>
          <w:sz w:val="22"/>
          <w:szCs w:val="22"/>
        </w:rPr>
        <w:t xml:space="preserve">Another aspect of young people’s sexual behaviours that this survey sought to understand was the use of </w:t>
      </w:r>
      <w:r w:rsidR="51EF1D74" w:rsidRPr="008D6AC4">
        <w:rPr>
          <w:rFonts w:ascii="Verdana" w:eastAsia="Verdana" w:hAnsi="Verdana" w:cs="Verdana"/>
          <w:sz w:val="22"/>
          <w:szCs w:val="22"/>
        </w:rPr>
        <w:t>substances both in their normal</w:t>
      </w:r>
      <w:r w:rsidR="2830199C" w:rsidRPr="008D6AC4">
        <w:rPr>
          <w:rFonts w:ascii="Verdana" w:eastAsia="Verdana" w:hAnsi="Verdana" w:cs="Verdana"/>
          <w:sz w:val="22"/>
          <w:szCs w:val="22"/>
        </w:rPr>
        <w:t xml:space="preserve"> lifestyles and before or during sexual activity. More females responded that they use alcohol during sex than males</w:t>
      </w:r>
      <w:r w:rsidR="78AEBC9C" w:rsidRPr="008D6AC4">
        <w:rPr>
          <w:rFonts w:ascii="Verdana" w:eastAsia="Verdana" w:hAnsi="Verdana" w:cs="Verdana"/>
          <w:sz w:val="22"/>
          <w:szCs w:val="22"/>
        </w:rPr>
        <w:t>,</w:t>
      </w:r>
      <w:r w:rsidR="3709C0C6" w:rsidRPr="008D6AC4">
        <w:rPr>
          <w:rFonts w:ascii="Verdana" w:eastAsia="Verdana" w:hAnsi="Verdana" w:cs="Verdana"/>
          <w:sz w:val="22"/>
          <w:szCs w:val="22"/>
        </w:rPr>
        <w:t xml:space="preserve"> the same as vaping. More males reported smoking than females. It is important to understand how different lifestyle behaviours may impact on sexual health choices</w:t>
      </w:r>
      <w:r w:rsidR="5521A722" w:rsidRPr="008D6AC4">
        <w:rPr>
          <w:rFonts w:ascii="Verdana" w:eastAsia="Verdana" w:hAnsi="Verdana" w:cs="Verdana"/>
          <w:sz w:val="22"/>
          <w:szCs w:val="22"/>
        </w:rPr>
        <w:t xml:space="preserve"> in young people to ensure holistic education is given to them around what may influence their sexual experiences. </w:t>
      </w:r>
    </w:p>
    <w:p w14:paraId="167E4E82" w14:textId="77777777" w:rsidR="0D38D79F" w:rsidRPr="008D6AC4" w:rsidRDefault="6A6207C9" w:rsidP="5DAAB0BE">
      <w:pPr>
        <w:jc w:val="both"/>
        <w:rPr>
          <w:rFonts w:ascii="Verdana" w:eastAsia="Verdana" w:hAnsi="Verdana" w:cs="Verdana"/>
          <w:sz w:val="22"/>
          <w:szCs w:val="22"/>
        </w:rPr>
      </w:pPr>
      <w:r w:rsidRPr="008D6AC4">
        <w:rPr>
          <w:rFonts w:ascii="Verdana" w:eastAsia="Verdana" w:hAnsi="Verdana" w:cs="Verdana"/>
          <w:sz w:val="22"/>
          <w:szCs w:val="22"/>
        </w:rPr>
        <w:t>This study should be replicated with a larger pool of participants to understand if findings are generalisable.</w:t>
      </w:r>
      <w:r w:rsidR="00072455" w:rsidRPr="008D6AC4">
        <w:rPr>
          <w:rFonts w:ascii="Verdana" w:eastAsia="Verdana" w:hAnsi="Verdana" w:cs="Verdana"/>
          <w:sz w:val="22"/>
          <w:szCs w:val="22"/>
        </w:rPr>
        <w:t xml:space="preserve"> </w:t>
      </w:r>
    </w:p>
    <w:p w14:paraId="06967C77" w14:textId="77777777" w:rsidR="00072455" w:rsidRPr="008D6AC4" w:rsidRDefault="00072455" w:rsidP="5DAAB0BE">
      <w:pPr>
        <w:jc w:val="both"/>
        <w:rPr>
          <w:rFonts w:ascii="Verdana" w:eastAsia="Verdana" w:hAnsi="Verdana" w:cs="Verdana"/>
          <w:sz w:val="22"/>
          <w:szCs w:val="22"/>
        </w:rPr>
      </w:pPr>
      <w:r w:rsidRPr="6B91972C">
        <w:rPr>
          <w:rFonts w:ascii="Verdana" w:eastAsia="Verdana" w:hAnsi="Verdana" w:cs="Verdana"/>
          <w:sz w:val="22"/>
          <w:szCs w:val="22"/>
        </w:rPr>
        <w:t>Please see Appendix A for the graphs that reflect the data above.</w:t>
      </w:r>
    </w:p>
    <w:p w14:paraId="56318D4A" w14:textId="77777777" w:rsidR="00B8147E" w:rsidRPr="008D6AC4" w:rsidRDefault="280F9A0E" w:rsidP="136F3BEB">
      <w:pPr>
        <w:pStyle w:val="Heading1"/>
        <w:numPr>
          <w:ilvl w:val="0"/>
          <w:numId w:val="0"/>
        </w:numPr>
        <w:spacing w:after="0"/>
        <w:rPr>
          <w:rFonts w:ascii="Verdana" w:eastAsiaTheme="minorEastAsia" w:hAnsi="Verdana"/>
          <w:color w:val="2D7C82"/>
          <w:sz w:val="28"/>
          <w:szCs w:val="28"/>
        </w:rPr>
      </w:pPr>
      <w:bookmarkStart w:id="79" w:name="_Toc360642287"/>
      <w:r w:rsidRPr="136F3BEB">
        <w:rPr>
          <w:rFonts w:ascii="Verdana" w:eastAsiaTheme="minorEastAsia" w:hAnsi="Verdana"/>
          <w:color w:val="2D7C82"/>
          <w:sz w:val="28"/>
          <w:szCs w:val="28"/>
        </w:rPr>
        <w:t>9</w:t>
      </w:r>
      <w:r w:rsidR="21569CA0" w:rsidRPr="136F3BEB">
        <w:rPr>
          <w:rFonts w:ascii="Verdana" w:eastAsiaTheme="minorEastAsia" w:hAnsi="Verdana"/>
          <w:color w:val="2D7C82"/>
          <w:sz w:val="28"/>
          <w:szCs w:val="28"/>
        </w:rPr>
        <w:t>.</w:t>
      </w:r>
      <w:r w:rsidR="46C577B4" w:rsidRPr="136F3BEB">
        <w:rPr>
          <w:rFonts w:ascii="Verdana" w:eastAsiaTheme="minorEastAsia" w:hAnsi="Verdana"/>
          <w:color w:val="2D7C82"/>
          <w:sz w:val="28"/>
          <w:szCs w:val="28"/>
        </w:rPr>
        <w:t xml:space="preserve"> </w:t>
      </w:r>
      <w:r w:rsidR="4F23AE4D">
        <w:tab/>
      </w:r>
      <w:r w:rsidR="2AE1E622" w:rsidRPr="136F3BEB">
        <w:rPr>
          <w:rFonts w:ascii="Verdana" w:eastAsiaTheme="minorEastAsia" w:hAnsi="Verdana"/>
          <w:color w:val="2D7C82"/>
          <w:sz w:val="28"/>
          <w:szCs w:val="28"/>
        </w:rPr>
        <w:t>Future Research Needs</w:t>
      </w:r>
      <w:bookmarkEnd w:id="79"/>
    </w:p>
    <w:p w14:paraId="4606223B" w14:textId="77777777" w:rsidR="00B8147E" w:rsidRPr="008D6AC4" w:rsidRDefault="00B8147E" w:rsidP="00B8147E">
      <w:pPr>
        <w:jc w:val="both"/>
        <w:rPr>
          <w:rFonts w:ascii="Verdana" w:hAnsi="Verdana"/>
          <w:sz w:val="22"/>
          <w:szCs w:val="22"/>
        </w:rPr>
      </w:pPr>
      <w:r w:rsidRPr="008D6AC4">
        <w:rPr>
          <w:rFonts w:ascii="Verdana" w:hAnsi="Verdana"/>
          <w:sz w:val="22"/>
          <w:szCs w:val="22"/>
        </w:rPr>
        <w:t>Kent County Council has recently collaborated with Canterbury Christ Church University in Kent to undertake a literature review of contraceptive choices and barriers in young women aged 18</w:t>
      </w:r>
      <w:r w:rsidR="00027099" w:rsidRPr="008D6AC4">
        <w:rPr>
          <w:rFonts w:ascii="Verdana" w:hAnsi="Verdana"/>
          <w:sz w:val="22"/>
          <w:szCs w:val="22"/>
        </w:rPr>
        <w:t xml:space="preserve"> to </w:t>
      </w:r>
      <w:r w:rsidRPr="008D6AC4">
        <w:rPr>
          <w:rFonts w:ascii="Verdana" w:hAnsi="Verdana"/>
          <w:sz w:val="22"/>
          <w:szCs w:val="22"/>
        </w:rPr>
        <w:t xml:space="preserve">24. This is currently being finalised and will be published in late 2024. This aims to support knowledge of the experiences of this age group and propose future research focus and applications in commissioning. </w:t>
      </w:r>
    </w:p>
    <w:p w14:paraId="745BFCCF" w14:textId="77777777" w:rsidR="00B8147E" w:rsidRPr="008D6AC4" w:rsidRDefault="00B8147E" w:rsidP="00B8147E">
      <w:pPr>
        <w:jc w:val="both"/>
        <w:rPr>
          <w:rFonts w:ascii="Verdana" w:hAnsi="Verdana"/>
          <w:sz w:val="22"/>
          <w:szCs w:val="22"/>
        </w:rPr>
      </w:pPr>
      <w:r w:rsidRPr="008D6AC4">
        <w:rPr>
          <w:rFonts w:ascii="Verdana" w:hAnsi="Verdana"/>
          <w:sz w:val="22"/>
          <w:szCs w:val="22"/>
        </w:rPr>
        <w:t xml:space="preserve">The University of Kent is now chairing a research group titled ‘Inclusive Women's Health Research Group (IWHRG)’ for partners across Kent who are interested in women’s health research. KCC sexual health colleagues have joined this group and aim to contribute to and learn from timely and relevant research to improve knowledge and services in Kent. </w:t>
      </w:r>
    </w:p>
    <w:p w14:paraId="07FE8711" w14:textId="77777777" w:rsidR="00B8147E" w:rsidRPr="008D6AC4" w:rsidRDefault="00B8147E" w:rsidP="00B8147E">
      <w:pPr>
        <w:spacing w:after="200"/>
        <w:jc w:val="both"/>
        <w:rPr>
          <w:rFonts w:ascii="Verdana" w:hAnsi="Verdana"/>
          <w:sz w:val="22"/>
          <w:szCs w:val="22"/>
        </w:rPr>
      </w:pPr>
      <w:r w:rsidRPr="008D6AC4">
        <w:rPr>
          <w:rFonts w:ascii="Verdana" w:hAnsi="Verdana"/>
          <w:sz w:val="22"/>
          <w:szCs w:val="22"/>
        </w:rPr>
        <w:t xml:space="preserve">Across the Kent system it is important to engage in further research opportunities to inform and influence policy to promote and prevent poor sexual health outcomes. It is recommended that this forms an ongoing topic on the agenda at the recommended Kent Sexual Health network meetings. </w:t>
      </w:r>
    </w:p>
    <w:p w14:paraId="4A904003" w14:textId="77777777" w:rsidR="009F2C10" w:rsidRPr="008D6AC4" w:rsidRDefault="26AA3103" w:rsidP="00651918">
      <w:pPr>
        <w:jc w:val="both"/>
        <w:rPr>
          <w:rFonts w:ascii="Verdana" w:hAnsi="Verdana"/>
          <w:sz w:val="22"/>
          <w:szCs w:val="22"/>
        </w:rPr>
      </w:pPr>
      <w:r w:rsidRPr="008D6AC4">
        <w:rPr>
          <w:rFonts w:ascii="Verdana" w:hAnsi="Verdana"/>
          <w:sz w:val="22"/>
          <w:szCs w:val="22"/>
        </w:rPr>
        <w:lastRenderedPageBreak/>
        <w:t xml:space="preserve">Based on information collated in this sexual health needs assessment the recommendation is for future research areas to focus on; cultural influences and understanding of sexual health and behaviours, how sexual health behaviours have changed over time in Kent, how contraceptive choices are changing, how Kent sexual health services are meeting the needs of vulnerable groups, barriers to accessing services, and interactions between sexual health behaviours and other factors such as drug and alcohol use and mental health. </w:t>
      </w:r>
    </w:p>
    <w:p w14:paraId="1AF48CB5" w14:textId="77777777" w:rsidR="009F2C10" w:rsidRPr="008D6AC4" w:rsidRDefault="4071251D" w:rsidP="136F3BEB">
      <w:pPr>
        <w:pStyle w:val="Heading1"/>
        <w:numPr>
          <w:ilvl w:val="0"/>
          <w:numId w:val="0"/>
        </w:numPr>
        <w:spacing w:after="0"/>
        <w:rPr>
          <w:rFonts w:ascii="Verdana" w:hAnsi="Verdana" w:cstheme="minorBidi"/>
          <w:color w:val="2D7C82"/>
        </w:rPr>
      </w:pPr>
      <w:bookmarkStart w:id="80" w:name="_Toc1722686660"/>
      <w:r w:rsidRPr="136F3BEB">
        <w:rPr>
          <w:rFonts w:ascii="Verdana" w:eastAsiaTheme="minorEastAsia" w:hAnsi="Verdana"/>
          <w:color w:val="2D7C82"/>
          <w:sz w:val="28"/>
          <w:szCs w:val="28"/>
        </w:rPr>
        <w:t>10</w:t>
      </w:r>
      <w:r w:rsidR="21569CA0" w:rsidRPr="136F3BEB">
        <w:rPr>
          <w:rFonts w:ascii="Verdana" w:eastAsiaTheme="minorEastAsia" w:hAnsi="Verdana"/>
          <w:color w:val="2D7C82"/>
          <w:sz w:val="28"/>
          <w:szCs w:val="28"/>
        </w:rPr>
        <w:t>.</w:t>
      </w:r>
      <w:r w:rsidR="656C6F80">
        <w:tab/>
      </w:r>
      <w:r w:rsidR="29CE60D5" w:rsidRPr="136F3BEB">
        <w:rPr>
          <w:rFonts w:ascii="Verdana" w:hAnsi="Verdana" w:cstheme="minorBidi"/>
          <w:color w:val="2D7C82"/>
          <w:sz w:val="28"/>
          <w:szCs w:val="28"/>
        </w:rPr>
        <w:t>Exploring other models in the UK</w:t>
      </w:r>
      <w:bookmarkEnd w:id="80"/>
    </w:p>
    <w:p w14:paraId="32C6B886" w14:textId="77777777" w:rsidR="009F2C10" w:rsidRPr="008D6AC4" w:rsidRDefault="58BDDAAF" w:rsidP="00027099">
      <w:pPr>
        <w:spacing w:before="0" w:after="160" w:line="257" w:lineRule="auto"/>
        <w:ind w:left="-20" w:right="-20"/>
        <w:jc w:val="both"/>
        <w:rPr>
          <w:rFonts w:ascii="Verdana" w:eastAsia="Verdana" w:hAnsi="Verdana" w:cs="Verdana"/>
          <w:color w:val="000000" w:themeColor="text1"/>
          <w:sz w:val="22"/>
          <w:szCs w:val="22"/>
        </w:rPr>
      </w:pPr>
      <w:r w:rsidRPr="008D6AC4">
        <w:rPr>
          <w:rFonts w:ascii="Verdana" w:eastAsia="Verdana" w:hAnsi="Verdana" w:cs="Verdana"/>
          <w:color w:val="000000" w:themeColor="text1"/>
          <w:sz w:val="22"/>
          <w:szCs w:val="22"/>
        </w:rPr>
        <w:t xml:space="preserve">Below are some highlights of </w:t>
      </w:r>
      <w:r w:rsidR="50406A47" w:rsidRPr="008D6AC4">
        <w:rPr>
          <w:rFonts w:ascii="Verdana" w:eastAsia="Verdana" w:hAnsi="Verdana" w:cs="Verdana"/>
          <w:color w:val="000000" w:themeColor="text1"/>
          <w:sz w:val="22"/>
          <w:szCs w:val="22"/>
        </w:rPr>
        <w:t xml:space="preserve">good </w:t>
      </w:r>
      <w:r w:rsidRPr="008D6AC4">
        <w:rPr>
          <w:rFonts w:ascii="Verdana" w:eastAsia="Verdana" w:hAnsi="Verdana" w:cs="Verdana"/>
          <w:color w:val="000000" w:themeColor="text1"/>
          <w:sz w:val="22"/>
          <w:szCs w:val="22"/>
        </w:rPr>
        <w:t xml:space="preserve">models </w:t>
      </w:r>
      <w:r w:rsidR="0939E6DA" w:rsidRPr="008D6AC4">
        <w:rPr>
          <w:rFonts w:ascii="Verdana" w:eastAsia="Verdana" w:hAnsi="Verdana" w:cs="Verdana"/>
          <w:color w:val="000000" w:themeColor="text1"/>
          <w:sz w:val="22"/>
          <w:szCs w:val="22"/>
        </w:rPr>
        <w:t>of sexual health</w:t>
      </w:r>
      <w:r w:rsidR="67DEA21D" w:rsidRPr="008D6AC4">
        <w:rPr>
          <w:rFonts w:ascii="Verdana" w:eastAsia="Verdana" w:hAnsi="Verdana" w:cs="Verdana"/>
          <w:color w:val="000000" w:themeColor="text1"/>
          <w:sz w:val="22"/>
          <w:szCs w:val="22"/>
        </w:rPr>
        <w:t xml:space="preserve"> </w:t>
      </w:r>
      <w:r w:rsidR="1C743401" w:rsidRPr="008D6AC4">
        <w:rPr>
          <w:rFonts w:ascii="Verdana" w:eastAsia="Verdana" w:hAnsi="Verdana" w:cs="Verdana"/>
          <w:color w:val="000000" w:themeColor="text1"/>
          <w:sz w:val="22"/>
          <w:szCs w:val="22"/>
        </w:rPr>
        <w:t xml:space="preserve">provision across the country. </w:t>
      </w:r>
      <w:r w:rsidR="1BDAAA68" w:rsidRPr="008D6AC4">
        <w:rPr>
          <w:rFonts w:ascii="Verdana" w:eastAsia="Verdana" w:hAnsi="Verdana" w:cs="Verdana"/>
          <w:color w:val="000000" w:themeColor="text1"/>
          <w:sz w:val="22"/>
          <w:szCs w:val="22"/>
        </w:rPr>
        <w:t>Understanding how other public health teams provide sexual health services in collaboration with wider system partners can help to</w:t>
      </w:r>
      <w:r w:rsidR="1FACB52A" w:rsidRPr="008D6AC4">
        <w:rPr>
          <w:rFonts w:ascii="Verdana" w:eastAsia="Verdana" w:hAnsi="Verdana" w:cs="Verdana"/>
          <w:color w:val="000000" w:themeColor="text1"/>
          <w:sz w:val="22"/>
          <w:szCs w:val="22"/>
        </w:rPr>
        <w:t xml:space="preserve"> demonstrate alternative services leading to good outcomes.</w:t>
      </w:r>
      <w:r w:rsidR="67DEA21D" w:rsidRPr="008D6AC4">
        <w:rPr>
          <w:rFonts w:ascii="Verdana" w:eastAsia="Verdana" w:hAnsi="Verdana" w:cs="Verdana"/>
          <w:color w:val="000000" w:themeColor="text1"/>
          <w:sz w:val="22"/>
          <w:szCs w:val="22"/>
        </w:rPr>
        <w:t xml:space="preserve">   </w:t>
      </w:r>
    </w:p>
    <w:p w14:paraId="0CA1AC13" w14:textId="77777777" w:rsidR="009F2C10" w:rsidRPr="0089791B" w:rsidRDefault="0839ECDC" w:rsidP="49636075">
      <w:pPr>
        <w:pStyle w:val="Heading2"/>
        <w:numPr>
          <w:ilvl w:val="0"/>
          <w:numId w:val="0"/>
        </w:numPr>
        <w:rPr>
          <w:rFonts w:ascii="Verdana" w:eastAsia="Verdana" w:hAnsi="Verdana" w:cs="Verdana"/>
          <w:color w:val="000000" w:themeColor="text1"/>
          <w:sz w:val="24"/>
          <w:szCs w:val="24"/>
          <w:u w:val="single"/>
          <w:vertAlign w:val="superscript"/>
        </w:rPr>
      </w:pPr>
      <w:bookmarkStart w:id="81" w:name="_Toc2011779803"/>
      <w:r w:rsidRPr="006C362A">
        <w:rPr>
          <w:rFonts w:ascii="Verdana" w:hAnsi="Verdana"/>
          <w:sz w:val="24"/>
          <w:szCs w:val="24"/>
        </w:rPr>
        <w:t>10</w:t>
      </w:r>
      <w:r w:rsidR="26666DF7" w:rsidRPr="0089791B">
        <w:rPr>
          <w:rFonts w:ascii="Verdana" w:hAnsi="Verdana"/>
          <w:sz w:val="24"/>
          <w:szCs w:val="24"/>
        </w:rPr>
        <w:t xml:space="preserve">.1 </w:t>
      </w:r>
      <w:r w:rsidR="29CE60D5" w:rsidRPr="136F3BEB">
        <w:rPr>
          <w:rFonts w:ascii="Verdana" w:hAnsi="Verdana" w:cstheme="minorBidi"/>
          <w:sz w:val="24"/>
          <w:szCs w:val="24"/>
        </w:rPr>
        <w:t>Women’s Health Hubs in Liverpool</w:t>
      </w:r>
      <w:r w:rsidR="009F2C10" w:rsidRPr="006C362A">
        <w:rPr>
          <w:rStyle w:val="FootnoteReference"/>
          <w:rFonts w:ascii="Verdana" w:eastAsia="Verdana" w:hAnsi="Verdana" w:cs="Verdana"/>
          <w:color w:val="000000" w:themeColor="text1"/>
          <w:sz w:val="24"/>
          <w:szCs w:val="24"/>
        </w:rPr>
        <w:footnoteReference w:id="106"/>
      </w:r>
      <w:bookmarkEnd w:id="81"/>
    </w:p>
    <w:p w14:paraId="3152FBA4" w14:textId="77777777" w:rsidR="009F2C10" w:rsidRPr="008D6AC4" w:rsidRDefault="67DEA21D" w:rsidP="4A0F6D8A">
      <w:pPr>
        <w:spacing w:before="0" w:after="0" w:line="257" w:lineRule="auto"/>
        <w:ind w:left="-20" w:right="-20"/>
        <w:jc w:val="both"/>
        <w:rPr>
          <w:rFonts w:ascii="Verdana" w:eastAsia="Verdana" w:hAnsi="Verdana" w:cs="Verdana"/>
          <w:color w:val="000000" w:themeColor="text1"/>
          <w:sz w:val="22"/>
          <w:szCs w:val="22"/>
        </w:rPr>
      </w:pPr>
      <w:r w:rsidRPr="008D6AC4">
        <w:rPr>
          <w:rFonts w:ascii="Verdana" w:eastAsia="Verdana" w:hAnsi="Verdana" w:cs="Verdana"/>
          <w:color w:val="000000" w:themeColor="text1"/>
          <w:sz w:val="22"/>
          <w:szCs w:val="22"/>
        </w:rPr>
        <w:t xml:space="preserve">In Liverpool, a network of women’s health hubs </w:t>
      </w:r>
      <w:r w:rsidR="6B58B43B" w:rsidRPr="008D6AC4">
        <w:rPr>
          <w:rFonts w:ascii="Verdana" w:eastAsia="Verdana" w:hAnsi="Verdana" w:cs="Verdana"/>
          <w:color w:val="000000" w:themeColor="text1"/>
          <w:sz w:val="22"/>
          <w:szCs w:val="22"/>
        </w:rPr>
        <w:t>has</w:t>
      </w:r>
      <w:r w:rsidRPr="008D6AC4">
        <w:rPr>
          <w:rFonts w:ascii="Verdana" w:eastAsia="Verdana" w:hAnsi="Verdana" w:cs="Verdana"/>
          <w:color w:val="000000" w:themeColor="text1"/>
          <w:sz w:val="22"/>
          <w:szCs w:val="22"/>
        </w:rPr>
        <w:t xml:space="preserve"> been set up, hosted in GP practices, and a result of Local Authority and NHS commissioners combining budgets. These provide a range of services including LARC, cervical screening and psychosexual services in one place. This has resulted in improved access to services and an increase in LARC prescribing rates, higher than pre-pandemic rates. </w:t>
      </w:r>
    </w:p>
    <w:p w14:paraId="578C98E5" w14:textId="77777777" w:rsidR="009F2C10" w:rsidRPr="008D6AC4" w:rsidRDefault="67DEA21D" w:rsidP="4A0F6D8A">
      <w:pPr>
        <w:spacing w:before="0" w:after="0" w:line="257" w:lineRule="auto"/>
        <w:ind w:left="-20" w:right="-20"/>
        <w:jc w:val="both"/>
        <w:rPr>
          <w:rFonts w:ascii="Verdana" w:eastAsia="Verdana" w:hAnsi="Verdana" w:cs="Verdana"/>
          <w:color w:val="000000" w:themeColor="text1"/>
          <w:sz w:val="22"/>
          <w:szCs w:val="22"/>
        </w:rPr>
      </w:pPr>
      <w:r w:rsidRPr="008D6AC4">
        <w:rPr>
          <w:rFonts w:ascii="Verdana" w:eastAsia="Verdana" w:hAnsi="Verdana" w:cs="Verdana"/>
          <w:color w:val="000000" w:themeColor="text1"/>
          <w:sz w:val="22"/>
          <w:szCs w:val="22"/>
        </w:rPr>
        <w:t xml:space="preserve"> </w:t>
      </w:r>
    </w:p>
    <w:p w14:paraId="47D26C9F" w14:textId="77777777" w:rsidR="009F2C10" w:rsidRPr="0089791B" w:rsidRDefault="1EAA3A03" w:rsidP="49636075">
      <w:pPr>
        <w:pStyle w:val="Heading2"/>
        <w:numPr>
          <w:ilvl w:val="0"/>
          <w:numId w:val="0"/>
        </w:numPr>
        <w:rPr>
          <w:rFonts w:ascii="Verdana" w:eastAsia="Verdana" w:hAnsi="Verdana" w:cs="Verdana"/>
          <w:color w:val="000000" w:themeColor="text1"/>
          <w:sz w:val="24"/>
          <w:szCs w:val="24"/>
          <w:u w:val="single"/>
          <w:vertAlign w:val="superscript"/>
        </w:rPr>
      </w:pPr>
      <w:bookmarkStart w:id="82" w:name="_Toc2135998946"/>
      <w:r w:rsidRPr="006C362A">
        <w:rPr>
          <w:rFonts w:ascii="Verdana" w:hAnsi="Verdana"/>
          <w:sz w:val="24"/>
          <w:szCs w:val="24"/>
        </w:rPr>
        <w:t>10</w:t>
      </w:r>
      <w:r w:rsidR="1183EF13" w:rsidRPr="0089791B">
        <w:rPr>
          <w:rFonts w:ascii="Verdana" w:hAnsi="Verdana"/>
          <w:sz w:val="24"/>
          <w:szCs w:val="24"/>
        </w:rPr>
        <w:t xml:space="preserve">.2 </w:t>
      </w:r>
      <w:r w:rsidR="29CE60D5" w:rsidRPr="136F3BEB">
        <w:rPr>
          <w:rFonts w:ascii="Verdana" w:hAnsi="Verdana" w:cstheme="minorBidi"/>
          <w:sz w:val="24"/>
          <w:szCs w:val="24"/>
        </w:rPr>
        <w:t>Postnatal Contraception in North-West London</w:t>
      </w:r>
      <w:r w:rsidR="009F2C10" w:rsidRPr="006C362A">
        <w:rPr>
          <w:rStyle w:val="FootnoteReference"/>
          <w:rFonts w:ascii="Verdana" w:eastAsia="Verdana" w:hAnsi="Verdana" w:cs="Verdana"/>
          <w:color w:val="000000" w:themeColor="text1"/>
          <w:sz w:val="24"/>
          <w:szCs w:val="24"/>
        </w:rPr>
        <w:footnoteReference w:id="107"/>
      </w:r>
      <w:bookmarkEnd w:id="82"/>
    </w:p>
    <w:p w14:paraId="6E9DEB06" w14:textId="77777777" w:rsidR="009F2C10" w:rsidRPr="008D6AC4" w:rsidRDefault="67DEA21D" w:rsidP="4A0F6D8A">
      <w:pPr>
        <w:spacing w:before="0" w:after="0" w:line="257" w:lineRule="auto"/>
        <w:ind w:left="-20" w:right="-20"/>
        <w:jc w:val="both"/>
        <w:rPr>
          <w:rFonts w:ascii="Verdana" w:eastAsia="Verdana" w:hAnsi="Verdana" w:cs="Verdana"/>
          <w:color w:val="000000" w:themeColor="text1"/>
          <w:sz w:val="22"/>
          <w:szCs w:val="22"/>
        </w:rPr>
      </w:pPr>
      <w:r w:rsidRPr="008D6AC4">
        <w:rPr>
          <w:rFonts w:ascii="Verdana" w:eastAsia="Verdana" w:hAnsi="Verdana" w:cs="Verdana"/>
          <w:color w:val="000000" w:themeColor="text1"/>
          <w:sz w:val="22"/>
          <w:szCs w:val="22"/>
        </w:rPr>
        <w:t xml:space="preserve">In North-West London, contraception has been offered within maternity services from 2020, giving women a choice of contraception before they leave the service. This was a regional collaboration between maternity services, sexual </w:t>
      </w:r>
      <w:r w:rsidRPr="008D6AC4">
        <w:rPr>
          <w:rFonts w:ascii="Verdana" w:eastAsia="Verdana" w:hAnsi="Verdana" w:cs="Verdana"/>
          <w:color w:val="000000" w:themeColor="text1"/>
          <w:sz w:val="22"/>
          <w:szCs w:val="22"/>
        </w:rPr>
        <w:lastRenderedPageBreak/>
        <w:t xml:space="preserve">health, local authorities and commissioners. Maternity staff were trained in providing contraception and carrying out contraceptive procedures. This was implemented as a result of a study finding that 51% of women had not planned future contraception after they gave birth, and yet 42% wanted to take home contraception. The evaluation of this service is currently being undertaken to understand the effect on unplanned pregnancy, access to the service and cost savings for the ICS. </w:t>
      </w:r>
    </w:p>
    <w:p w14:paraId="3B4E2829" w14:textId="77777777" w:rsidR="009F2C10" w:rsidRPr="008D6AC4" w:rsidRDefault="67DEA21D" w:rsidP="4A0F6D8A">
      <w:pPr>
        <w:spacing w:before="0" w:after="0" w:line="257" w:lineRule="auto"/>
        <w:ind w:left="-20" w:right="-20"/>
        <w:jc w:val="both"/>
        <w:rPr>
          <w:rFonts w:ascii="Verdana" w:eastAsia="Verdana" w:hAnsi="Verdana" w:cs="Verdana"/>
          <w:color w:val="000000" w:themeColor="text1"/>
          <w:sz w:val="22"/>
          <w:szCs w:val="22"/>
        </w:rPr>
      </w:pPr>
      <w:r w:rsidRPr="008D6AC4">
        <w:rPr>
          <w:rFonts w:ascii="Verdana" w:eastAsia="Verdana" w:hAnsi="Verdana" w:cs="Verdana"/>
          <w:color w:val="000000" w:themeColor="text1"/>
          <w:sz w:val="22"/>
          <w:szCs w:val="22"/>
        </w:rPr>
        <w:t xml:space="preserve"> </w:t>
      </w:r>
    </w:p>
    <w:p w14:paraId="406784C9" w14:textId="77777777" w:rsidR="009F2C10" w:rsidRPr="006C362A" w:rsidRDefault="028A3FE0" w:rsidP="4A0F6D8A">
      <w:pPr>
        <w:spacing w:before="0" w:after="0" w:line="257" w:lineRule="auto"/>
        <w:ind w:left="-20" w:right="-20"/>
        <w:jc w:val="both"/>
        <w:rPr>
          <w:rFonts w:ascii="Verdana" w:eastAsia="Verdana" w:hAnsi="Verdana" w:cs="Verdana"/>
          <w:b/>
          <w:bCs/>
          <w:color w:val="000000" w:themeColor="text1"/>
          <w:sz w:val="22"/>
          <w:szCs w:val="22"/>
          <w:u w:val="single"/>
          <w:vertAlign w:val="superscript"/>
        </w:rPr>
      </w:pPr>
      <w:bookmarkStart w:id="83" w:name="_Toc493071168"/>
      <w:r w:rsidRPr="006C362A">
        <w:rPr>
          <w:rStyle w:val="Heading2Char"/>
          <w:rFonts w:ascii="Verdana" w:hAnsi="Verdana"/>
          <w:sz w:val="22"/>
          <w:szCs w:val="22"/>
        </w:rPr>
        <w:t>10</w:t>
      </w:r>
      <w:r w:rsidR="493DA2DF" w:rsidRPr="0089791B">
        <w:rPr>
          <w:rStyle w:val="Heading2Char"/>
          <w:rFonts w:ascii="Verdana" w:hAnsi="Verdana"/>
          <w:sz w:val="22"/>
          <w:szCs w:val="22"/>
        </w:rPr>
        <w:t xml:space="preserve">.3 </w:t>
      </w:r>
      <w:r w:rsidR="29CE60D5" w:rsidRPr="0089791B">
        <w:rPr>
          <w:rStyle w:val="Heading2Char"/>
          <w:rFonts w:ascii="Verdana" w:hAnsi="Verdana"/>
          <w:sz w:val="22"/>
          <w:szCs w:val="22"/>
        </w:rPr>
        <w:t>Integrated approach to commissioning in Sussex</w:t>
      </w:r>
      <w:bookmarkEnd w:id="83"/>
      <w:r w:rsidR="009F2C10" w:rsidRPr="006C362A">
        <w:rPr>
          <w:rStyle w:val="FootnoteReference"/>
          <w:rFonts w:ascii="Verdana" w:eastAsia="Verdana" w:hAnsi="Verdana" w:cs="Verdana"/>
          <w:b/>
          <w:bCs/>
          <w:color w:val="000000" w:themeColor="text1"/>
          <w:sz w:val="22"/>
          <w:szCs w:val="22"/>
          <w:u w:val="single"/>
        </w:rPr>
        <w:footnoteReference w:id="108"/>
      </w:r>
    </w:p>
    <w:p w14:paraId="5E5DEF54" w14:textId="77777777" w:rsidR="009F2C10" w:rsidRPr="008D6AC4" w:rsidRDefault="67DEA21D" w:rsidP="4A0F6D8A">
      <w:pPr>
        <w:spacing w:before="0" w:after="0" w:line="257" w:lineRule="auto"/>
        <w:ind w:left="-20" w:right="-20"/>
        <w:jc w:val="both"/>
        <w:rPr>
          <w:rFonts w:ascii="Verdana" w:eastAsia="Verdana" w:hAnsi="Verdana" w:cs="Verdana"/>
          <w:color w:val="000000" w:themeColor="text1"/>
          <w:sz w:val="22"/>
          <w:szCs w:val="22"/>
        </w:rPr>
      </w:pPr>
      <w:r w:rsidRPr="008D6AC4">
        <w:rPr>
          <w:rFonts w:ascii="Verdana" w:eastAsia="Verdana" w:hAnsi="Verdana" w:cs="Verdana"/>
          <w:color w:val="000000" w:themeColor="text1"/>
          <w:sz w:val="22"/>
          <w:szCs w:val="22"/>
        </w:rPr>
        <w:t>In Sussex, ICB commissioners have collaborated with local authorities, GPs and local sexual health and abortion providers to analyse data across their sexual health and abortion pathways. They found that demand for contraception services has not been rising in the same way that demand for abortion services has been rising, along with a strong correlation between deprivation and use of abortion services. The local partners worked together to promote the benefits and availability of contraception and to improve online access to education tools with the aim of using targeted online communications to populations with higher rates of use of abortion services.</w:t>
      </w:r>
    </w:p>
    <w:p w14:paraId="54B36153" w14:textId="77777777" w:rsidR="009F2C10" w:rsidRPr="008D6AC4" w:rsidRDefault="67DEA21D" w:rsidP="4A0F6D8A">
      <w:pPr>
        <w:spacing w:before="0" w:after="0" w:line="257" w:lineRule="auto"/>
        <w:ind w:left="-20" w:right="-20"/>
        <w:jc w:val="both"/>
        <w:rPr>
          <w:rFonts w:ascii="Verdana" w:eastAsia="Verdana" w:hAnsi="Verdana" w:cs="Verdana"/>
          <w:color w:val="000000" w:themeColor="text1"/>
          <w:sz w:val="22"/>
          <w:szCs w:val="22"/>
        </w:rPr>
      </w:pPr>
      <w:r w:rsidRPr="008D6AC4">
        <w:rPr>
          <w:rFonts w:ascii="Verdana" w:eastAsia="Verdana" w:hAnsi="Verdana" w:cs="Verdana"/>
          <w:color w:val="000000" w:themeColor="text1"/>
          <w:sz w:val="22"/>
          <w:szCs w:val="22"/>
        </w:rPr>
        <w:t xml:space="preserve"> </w:t>
      </w:r>
    </w:p>
    <w:p w14:paraId="00A99801" w14:textId="77777777" w:rsidR="009F2C10" w:rsidRPr="0089791B" w:rsidRDefault="3E90981B" w:rsidP="136F3BEB">
      <w:pPr>
        <w:pStyle w:val="Heading2"/>
        <w:numPr>
          <w:ilvl w:val="0"/>
          <w:numId w:val="0"/>
        </w:numPr>
        <w:rPr>
          <w:rFonts w:ascii="Verdana" w:hAnsi="Verdana" w:cstheme="minorBidi"/>
          <w:sz w:val="24"/>
          <w:szCs w:val="24"/>
        </w:rPr>
      </w:pPr>
      <w:bookmarkStart w:id="84" w:name="_Toc750785716"/>
      <w:r w:rsidRPr="136F3BEB">
        <w:rPr>
          <w:rFonts w:ascii="Verdana" w:hAnsi="Verdana"/>
          <w:sz w:val="24"/>
          <w:szCs w:val="24"/>
        </w:rPr>
        <w:t>10</w:t>
      </w:r>
      <w:r w:rsidR="244D4A73" w:rsidRPr="136F3BEB">
        <w:rPr>
          <w:rFonts w:ascii="Verdana" w:hAnsi="Verdana"/>
          <w:sz w:val="24"/>
          <w:szCs w:val="24"/>
        </w:rPr>
        <w:t xml:space="preserve">.4 </w:t>
      </w:r>
      <w:r w:rsidR="29CE60D5" w:rsidRPr="136F3BEB">
        <w:rPr>
          <w:rFonts w:ascii="Verdana" w:hAnsi="Verdana" w:cstheme="minorBidi"/>
          <w:sz w:val="24"/>
          <w:szCs w:val="24"/>
        </w:rPr>
        <w:t>Psychosexual models</w:t>
      </w:r>
      <w:bookmarkEnd w:id="84"/>
    </w:p>
    <w:p w14:paraId="05391298" w14:textId="77777777" w:rsidR="009F2C10" w:rsidRPr="008D6AC4" w:rsidRDefault="53C9D052" w:rsidP="2AA663A8">
      <w:pPr>
        <w:spacing w:line="257" w:lineRule="auto"/>
        <w:jc w:val="both"/>
        <w:rPr>
          <w:rFonts w:ascii="Verdana" w:eastAsia="Verdana" w:hAnsi="Verdana" w:cs="Verdana"/>
          <w:color w:val="000000" w:themeColor="text1"/>
          <w:sz w:val="22"/>
          <w:szCs w:val="22"/>
        </w:rPr>
      </w:pPr>
      <w:r w:rsidRPr="008D6AC4">
        <w:rPr>
          <w:rFonts w:ascii="Verdana" w:eastAsia="Verdana" w:hAnsi="Verdana" w:cs="Verdana"/>
          <w:color w:val="000000" w:themeColor="text1"/>
          <w:sz w:val="22"/>
          <w:szCs w:val="22"/>
        </w:rPr>
        <w:t>C</w:t>
      </w:r>
      <w:r w:rsidR="67DEA21D" w:rsidRPr="008D6AC4">
        <w:rPr>
          <w:rFonts w:ascii="Verdana" w:eastAsia="Verdana" w:hAnsi="Verdana" w:cs="Verdana"/>
          <w:color w:val="000000" w:themeColor="text1"/>
          <w:sz w:val="22"/>
          <w:szCs w:val="22"/>
        </w:rPr>
        <w:t xml:space="preserve">ouncils that </w:t>
      </w:r>
      <w:r w:rsidR="0B9C2FA0" w:rsidRPr="008D6AC4">
        <w:rPr>
          <w:rFonts w:ascii="Verdana" w:eastAsia="Verdana" w:hAnsi="Verdana" w:cs="Verdana"/>
          <w:color w:val="000000" w:themeColor="text1"/>
          <w:sz w:val="22"/>
          <w:szCs w:val="22"/>
        </w:rPr>
        <w:t xml:space="preserve">are part of the national sexual health commissioning group responded to a call from KCC Commissioning colleges regarding their psychosexual services. 2 out of the 9 </w:t>
      </w:r>
      <w:r w:rsidR="0F514AE1" w:rsidRPr="008D6AC4">
        <w:rPr>
          <w:rFonts w:ascii="Verdana" w:eastAsia="Verdana" w:hAnsi="Verdana" w:cs="Verdana"/>
          <w:color w:val="000000" w:themeColor="text1"/>
          <w:sz w:val="22"/>
          <w:szCs w:val="22"/>
        </w:rPr>
        <w:t xml:space="preserve">councils do not have a psychosexual service. Of those that responded we had further discussions with Torbay and </w:t>
      </w:r>
      <w:r w:rsidR="2B1ECCCE" w:rsidRPr="008D6AC4">
        <w:rPr>
          <w:rFonts w:ascii="Verdana" w:eastAsia="Verdana" w:hAnsi="Verdana" w:cs="Verdana"/>
          <w:color w:val="000000" w:themeColor="text1"/>
          <w:sz w:val="22"/>
          <w:szCs w:val="22"/>
        </w:rPr>
        <w:t>Derbyshire</w:t>
      </w:r>
      <w:r w:rsidR="0F514AE1" w:rsidRPr="008D6AC4">
        <w:rPr>
          <w:rFonts w:ascii="Verdana" w:eastAsia="Verdana" w:hAnsi="Verdana" w:cs="Verdana"/>
          <w:color w:val="000000" w:themeColor="text1"/>
          <w:sz w:val="22"/>
          <w:szCs w:val="22"/>
        </w:rPr>
        <w:t>.</w:t>
      </w:r>
      <w:r w:rsidR="26FDCBC9" w:rsidRPr="008D6AC4">
        <w:rPr>
          <w:rFonts w:ascii="Verdana" w:eastAsia="Verdana" w:hAnsi="Verdana" w:cs="Verdana"/>
          <w:color w:val="000000" w:themeColor="text1"/>
          <w:sz w:val="22"/>
          <w:szCs w:val="22"/>
        </w:rPr>
        <w:t xml:space="preserve"> </w:t>
      </w:r>
    </w:p>
    <w:p w14:paraId="798AF57B" w14:textId="77777777" w:rsidR="009F2C10" w:rsidRPr="008D6AC4" w:rsidRDefault="30A0299D" w:rsidP="4A0F6D8A">
      <w:pPr>
        <w:spacing w:line="257" w:lineRule="auto"/>
        <w:jc w:val="both"/>
        <w:rPr>
          <w:rFonts w:ascii="Verdana" w:eastAsia="Verdana" w:hAnsi="Verdana" w:cs="Verdana"/>
          <w:color w:val="000000" w:themeColor="text1"/>
          <w:sz w:val="22"/>
          <w:szCs w:val="22"/>
        </w:rPr>
      </w:pPr>
      <w:r w:rsidRPr="008D6AC4">
        <w:rPr>
          <w:rFonts w:ascii="Verdana" w:eastAsia="Verdana" w:hAnsi="Verdana" w:cs="Verdana"/>
          <w:color w:val="000000" w:themeColor="text1"/>
          <w:sz w:val="22"/>
          <w:szCs w:val="22"/>
        </w:rPr>
        <w:t>Derbyshire</w:t>
      </w:r>
      <w:r w:rsidR="323EE608" w:rsidRPr="008D6AC4">
        <w:rPr>
          <w:rFonts w:ascii="Verdana" w:eastAsia="Verdana" w:hAnsi="Verdana" w:cs="Verdana"/>
          <w:color w:val="000000" w:themeColor="text1"/>
          <w:sz w:val="22"/>
          <w:szCs w:val="22"/>
        </w:rPr>
        <w:t xml:space="preserve"> County Council </w:t>
      </w:r>
      <w:r w:rsidR="47CFA78F" w:rsidRPr="008D6AC4">
        <w:rPr>
          <w:rFonts w:ascii="Verdana" w:eastAsia="Verdana" w:hAnsi="Verdana" w:cs="Verdana"/>
          <w:color w:val="000000" w:themeColor="text1"/>
          <w:sz w:val="22"/>
          <w:szCs w:val="22"/>
        </w:rPr>
        <w:t xml:space="preserve">(DCC) </w:t>
      </w:r>
      <w:r w:rsidR="323EE608" w:rsidRPr="008D6AC4">
        <w:rPr>
          <w:rFonts w:ascii="Verdana" w:eastAsia="Verdana" w:hAnsi="Verdana" w:cs="Verdana"/>
          <w:color w:val="000000" w:themeColor="text1"/>
          <w:sz w:val="22"/>
          <w:szCs w:val="22"/>
        </w:rPr>
        <w:t xml:space="preserve">have an integrated provider who subcontract to the psychosexual delivery provider in their county. </w:t>
      </w:r>
      <w:r w:rsidR="6C9E8518" w:rsidRPr="008D6AC4">
        <w:rPr>
          <w:rFonts w:ascii="Verdana" w:eastAsia="Verdana" w:hAnsi="Verdana" w:cs="Verdana"/>
          <w:color w:val="000000" w:themeColor="text1"/>
          <w:sz w:val="22"/>
          <w:szCs w:val="22"/>
        </w:rPr>
        <w:t xml:space="preserve">Referrals are </w:t>
      </w:r>
      <w:r w:rsidR="44581A72" w:rsidRPr="008D6AC4">
        <w:rPr>
          <w:rFonts w:ascii="Verdana" w:eastAsia="Verdana" w:hAnsi="Verdana" w:cs="Verdana"/>
          <w:color w:val="000000" w:themeColor="text1"/>
          <w:sz w:val="22"/>
          <w:szCs w:val="22"/>
        </w:rPr>
        <w:t>predominantly</w:t>
      </w:r>
      <w:r w:rsidR="6C9E8518" w:rsidRPr="008D6AC4">
        <w:rPr>
          <w:rFonts w:ascii="Verdana" w:eastAsia="Verdana" w:hAnsi="Verdana" w:cs="Verdana"/>
          <w:color w:val="000000" w:themeColor="text1"/>
          <w:sz w:val="22"/>
          <w:szCs w:val="22"/>
        </w:rPr>
        <w:t xml:space="preserve"> through ISHS but also other relevant partners. </w:t>
      </w:r>
      <w:r w:rsidR="494D74DF" w:rsidRPr="008D6AC4">
        <w:rPr>
          <w:rFonts w:ascii="Verdana" w:eastAsia="Verdana" w:hAnsi="Verdana" w:cs="Verdana"/>
          <w:color w:val="000000" w:themeColor="text1"/>
          <w:sz w:val="22"/>
          <w:szCs w:val="22"/>
        </w:rPr>
        <w:t>DCC</w:t>
      </w:r>
      <w:r w:rsidR="0E64646F" w:rsidRPr="008D6AC4">
        <w:rPr>
          <w:rFonts w:ascii="Verdana" w:eastAsia="Verdana" w:hAnsi="Verdana" w:cs="Verdana"/>
          <w:color w:val="000000" w:themeColor="text1"/>
          <w:sz w:val="22"/>
          <w:szCs w:val="22"/>
        </w:rPr>
        <w:t xml:space="preserve"> have slightly more sessions than the Kent offer, </w:t>
      </w:r>
      <w:r w:rsidR="3D5E0C0C" w:rsidRPr="008D6AC4">
        <w:rPr>
          <w:rFonts w:ascii="Verdana" w:eastAsia="Verdana" w:hAnsi="Verdana" w:cs="Verdana"/>
          <w:color w:val="000000" w:themeColor="text1"/>
          <w:sz w:val="22"/>
          <w:szCs w:val="22"/>
        </w:rPr>
        <w:t xml:space="preserve">on average there are </w:t>
      </w:r>
      <w:r w:rsidR="0E64646F" w:rsidRPr="008D6AC4">
        <w:rPr>
          <w:rFonts w:ascii="Verdana" w:eastAsia="Verdana" w:hAnsi="Verdana" w:cs="Verdana"/>
          <w:color w:val="000000" w:themeColor="text1"/>
          <w:sz w:val="22"/>
          <w:szCs w:val="22"/>
        </w:rPr>
        <w:t xml:space="preserve">8 instead of 6. </w:t>
      </w:r>
      <w:r w:rsidR="36323C66" w:rsidRPr="008D6AC4">
        <w:rPr>
          <w:rFonts w:ascii="Verdana" w:eastAsia="Verdana" w:hAnsi="Verdana" w:cs="Verdana"/>
          <w:color w:val="000000" w:themeColor="text1"/>
          <w:sz w:val="22"/>
          <w:szCs w:val="22"/>
        </w:rPr>
        <w:t xml:space="preserve">They reported seeing benefits from this of </w:t>
      </w:r>
    </w:p>
    <w:p w14:paraId="62F87816" w14:textId="77777777" w:rsidR="1B975046" w:rsidRPr="008D6AC4" w:rsidRDefault="1B975046" w:rsidP="2AA663A8">
      <w:pPr>
        <w:spacing w:line="257" w:lineRule="auto"/>
        <w:jc w:val="both"/>
        <w:rPr>
          <w:rFonts w:ascii="Verdana" w:eastAsia="Verdana" w:hAnsi="Verdana" w:cs="Verdana"/>
          <w:color w:val="000000" w:themeColor="text1"/>
          <w:sz w:val="22"/>
          <w:szCs w:val="22"/>
        </w:rPr>
      </w:pPr>
      <w:r w:rsidRPr="008D6AC4">
        <w:rPr>
          <w:rFonts w:ascii="Verdana" w:eastAsia="Verdana" w:hAnsi="Verdana" w:cs="Verdana"/>
          <w:color w:val="000000" w:themeColor="text1"/>
          <w:sz w:val="22"/>
          <w:szCs w:val="22"/>
        </w:rPr>
        <w:t xml:space="preserve">Torbay </w:t>
      </w:r>
      <w:r w:rsidR="173506B9" w:rsidRPr="008D6AC4">
        <w:rPr>
          <w:rFonts w:ascii="Verdana" w:eastAsia="Verdana" w:hAnsi="Verdana" w:cs="Verdana"/>
          <w:color w:val="000000" w:themeColor="text1"/>
          <w:sz w:val="22"/>
          <w:szCs w:val="22"/>
        </w:rPr>
        <w:t>Council</w:t>
      </w:r>
      <w:r w:rsidR="0A1399C5" w:rsidRPr="008D6AC4">
        <w:rPr>
          <w:rFonts w:ascii="Verdana" w:eastAsia="Verdana" w:hAnsi="Verdana" w:cs="Verdana"/>
          <w:color w:val="000000" w:themeColor="text1"/>
          <w:sz w:val="22"/>
          <w:szCs w:val="22"/>
        </w:rPr>
        <w:t>, somewhat</w:t>
      </w:r>
      <w:r w:rsidR="173506B9" w:rsidRPr="008D6AC4">
        <w:rPr>
          <w:rFonts w:ascii="Verdana" w:eastAsia="Verdana" w:hAnsi="Verdana" w:cs="Verdana"/>
          <w:color w:val="000000" w:themeColor="text1"/>
          <w:sz w:val="22"/>
          <w:szCs w:val="22"/>
        </w:rPr>
        <w:t xml:space="preserve"> similarly</w:t>
      </w:r>
      <w:r w:rsidR="523E587D" w:rsidRPr="008D6AC4">
        <w:rPr>
          <w:rFonts w:ascii="Verdana" w:eastAsia="Verdana" w:hAnsi="Verdana" w:cs="Verdana"/>
          <w:color w:val="000000" w:themeColor="text1"/>
          <w:sz w:val="22"/>
          <w:szCs w:val="22"/>
        </w:rPr>
        <w:t xml:space="preserve">, have merged their psychosexual service into their ISHS </w:t>
      </w:r>
      <w:r w:rsidR="173506B9" w:rsidRPr="008D6AC4">
        <w:rPr>
          <w:rFonts w:ascii="Verdana" w:eastAsia="Verdana" w:hAnsi="Verdana" w:cs="Verdana"/>
          <w:color w:val="000000" w:themeColor="text1"/>
          <w:sz w:val="22"/>
          <w:szCs w:val="22"/>
        </w:rPr>
        <w:t>contract</w:t>
      </w:r>
      <w:r w:rsidR="109755FF" w:rsidRPr="008D6AC4">
        <w:rPr>
          <w:rFonts w:ascii="Verdana" w:eastAsia="Verdana" w:hAnsi="Verdana" w:cs="Verdana"/>
          <w:color w:val="000000" w:themeColor="text1"/>
          <w:sz w:val="22"/>
          <w:szCs w:val="22"/>
        </w:rPr>
        <w:t>, which their lead provider subcontracts out</w:t>
      </w:r>
      <w:r w:rsidR="173506B9" w:rsidRPr="008D6AC4">
        <w:rPr>
          <w:rFonts w:ascii="Verdana" w:eastAsia="Verdana" w:hAnsi="Verdana" w:cs="Verdana"/>
          <w:color w:val="000000" w:themeColor="text1"/>
          <w:sz w:val="22"/>
          <w:szCs w:val="22"/>
        </w:rPr>
        <w:t xml:space="preserve">. </w:t>
      </w:r>
      <w:r w:rsidR="7D4CF64D" w:rsidRPr="008D6AC4">
        <w:rPr>
          <w:rFonts w:ascii="Verdana" w:eastAsia="Verdana" w:hAnsi="Verdana" w:cs="Verdana"/>
          <w:color w:val="000000" w:themeColor="text1"/>
          <w:sz w:val="22"/>
          <w:szCs w:val="22"/>
        </w:rPr>
        <w:t xml:space="preserve">Referrals are only made by the ISHS, if other partners believe they have a patient who would benefit from psychosexual therapy they refer to the ISHS who will then </w:t>
      </w:r>
      <w:r w:rsidR="1C1CF4CD" w:rsidRPr="008D6AC4">
        <w:rPr>
          <w:rFonts w:ascii="Verdana" w:eastAsia="Verdana" w:hAnsi="Verdana" w:cs="Verdana"/>
          <w:color w:val="000000" w:themeColor="text1"/>
          <w:sz w:val="22"/>
          <w:szCs w:val="22"/>
        </w:rPr>
        <w:t>triage</w:t>
      </w:r>
      <w:r w:rsidR="7D4CF64D" w:rsidRPr="008D6AC4">
        <w:rPr>
          <w:rFonts w:ascii="Verdana" w:eastAsia="Verdana" w:hAnsi="Verdana" w:cs="Verdana"/>
          <w:color w:val="000000" w:themeColor="text1"/>
          <w:sz w:val="22"/>
          <w:szCs w:val="22"/>
        </w:rPr>
        <w:t xml:space="preserve"> and offer support. This means that pat</w:t>
      </w:r>
      <w:r w:rsidR="0D4810E0" w:rsidRPr="008D6AC4">
        <w:rPr>
          <w:rFonts w:ascii="Verdana" w:eastAsia="Verdana" w:hAnsi="Verdana" w:cs="Verdana"/>
          <w:color w:val="000000" w:themeColor="text1"/>
          <w:sz w:val="22"/>
          <w:szCs w:val="22"/>
        </w:rPr>
        <w:t xml:space="preserve">ients are then able to have </w:t>
      </w:r>
      <w:r w:rsidR="0D4810E0" w:rsidRPr="008D6AC4">
        <w:rPr>
          <w:rFonts w:ascii="Verdana" w:eastAsia="Verdana" w:hAnsi="Verdana" w:cs="Verdana"/>
          <w:color w:val="000000" w:themeColor="text1"/>
          <w:sz w:val="22"/>
          <w:szCs w:val="22"/>
        </w:rPr>
        <w:lastRenderedPageBreak/>
        <w:t>conversations</w:t>
      </w:r>
      <w:r w:rsidR="4C700EC6" w:rsidRPr="008D6AC4">
        <w:rPr>
          <w:rFonts w:ascii="Verdana" w:eastAsia="Verdana" w:hAnsi="Verdana" w:cs="Verdana"/>
          <w:color w:val="000000" w:themeColor="text1"/>
          <w:sz w:val="22"/>
          <w:szCs w:val="22"/>
        </w:rPr>
        <w:t xml:space="preserve"> regarding</w:t>
      </w:r>
      <w:r w:rsidR="0D4810E0" w:rsidRPr="008D6AC4">
        <w:rPr>
          <w:rFonts w:ascii="Verdana" w:eastAsia="Verdana" w:hAnsi="Verdana" w:cs="Verdana"/>
          <w:color w:val="000000" w:themeColor="text1"/>
          <w:sz w:val="22"/>
          <w:szCs w:val="22"/>
        </w:rPr>
        <w:t xml:space="preserve"> the full suite of holistic sexual health care </w:t>
      </w:r>
      <w:r w:rsidR="18A5FB49" w:rsidRPr="008D6AC4">
        <w:rPr>
          <w:rFonts w:ascii="Verdana" w:eastAsia="Verdana" w:hAnsi="Verdana" w:cs="Verdana"/>
          <w:color w:val="000000" w:themeColor="text1"/>
          <w:sz w:val="22"/>
          <w:szCs w:val="22"/>
        </w:rPr>
        <w:t>available to them</w:t>
      </w:r>
      <w:r w:rsidR="008C592D" w:rsidRPr="008D6AC4">
        <w:rPr>
          <w:rFonts w:ascii="Verdana" w:eastAsia="Verdana" w:hAnsi="Verdana" w:cs="Verdana"/>
          <w:color w:val="000000" w:themeColor="text1"/>
          <w:sz w:val="22"/>
          <w:szCs w:val="22"/>
        </w:rPr>
        <w:t xml:space="preserve"> and only appropriate referrals reach the therapy provider</w:t>
      </w:r>
      <w:r w:rsidR="18A5FB49" w:rsidRPr="008D6AC4">
        <w:rPr>
          <w:rFonts w:ascii="Verdana" w:eastAsia="Verdana" w:hAnsi="Verdana" w:cs="Verdana"/>
          <w:color w:val="000000" w:themeColor="text1"/>
          <w:sz w:val="22"/>
          <w:szCs w:val="22"/>
        </w:rPr>
        <w:t>.</w:t>
      </w:r>
      <w:r w:rsidR="52224ABB" w:rsidRPr="008D6AC4">
        <w:rPr>
          <w:rFonts w:ascii="Verdana" w:eastAsia="Verdana" w:hAnsi="Verdana" w:cs="Verdana"/>
          <w:color w:val="000000" w:themeColor="text1"/>
          <w:sz w:val="22"/>
          <w:szCs w:val="22"/>
        </w:rPr>
        <w:t xml:space="preserve"> </w:t>
      </w:r>
      <w:r w:rsidR="4B7192FA" w:rsidRPr="008D6AC4">
        <w:rPr>
          <w:rFonts w:ascii="Verdana" w:eastAsia="Verdana" w:hAnsi="Verdana" w:cs="Verdana"/>
          <w:color w:val="000000" w:themeColor="text1"/>
          <w:sz w:val="22"/>
          <w:szCs w:val="22"/>
        </w:rPr>
        <w:t>Set l</w:t>
      </w:r>
      <w:r w:rsidR="52224ABB" w:rsidRPr="008D6AC4">
        <w:rPr>
          <w:rFonts w:ascii="Verdana" w:eastAsia="Verdana" w:hAnsi="Verdana" w:cs="Verdana"/>
          <w:color w:val="000000" w:themeColor="text1"/>
          <w:sz w:val="22"/>
          <w:szCs w:val="22"/>
        </w:rPr>
        <w:t>imitation criteria are placed on referrals</w:t>
      </w:r>
      <w:r w:rsidR="77223DBA" w:rsidRPr="008D6AC4">
        <w:rPr>
          <w:rFonts w:ascii="Verdana" w:eastAsia="Verdana" w:hAnsi="Verdana" w:cs="Verdana"/>
          <w:color w:val="000000" w:themeColor="text1"/>
          <w:sz w:val="22"/>
          <w:szCs w:val="22"/>
        </w:rPr>
        <w:t xml:space="preserve">. </w:t>
      </w:r>
    </w:p>
    <w:p w14:paraId="7123BD14" w14:textId="77777777" w:rsidR="009F2C10" w:rsidRPr="008D6AC4" w:rsidRDefault="607A0B53" w:rsidP="136F3BEB">
      <w:pPr>
        <w:spacing w:line="257" w:lineRule="auto"/>
        <w:jc w:val="both"/>
        <w:rPr>
          <w:rFonts w:ascii="Verdana" w:eastAsia="Verdana" w:hAnsi="Verdana" w:cs="Verdana"/>
          <w:color w:val="000000" w:themeColor="text1"/>
          <w:sz w:val="22"/>
          <w:szCs w:val="22"/>
        </w:rPr>
      </w:pPr>
      <w:r w:rsidRPr="136F3BEB">
        <w:rPr>
          <w:rFonts w:ascii="Verdana" w:eastAsia="Verdana" w:hAnsi="Verdana" w:cs="Verdana"/>
          <w:color w:val="000000" w:themeColor="text1"/>
          <w:sz w:val="22"/>
          <w:szCs w:val="22"/>
        </w:rPr>
        <w:t xml:space="preserve">Torbay take a more outcomes focused approach </w:t>
      </w:r>
      <w:r w:rsidR="65534935" w:rsidRPr="136F3BEB">
        <w:rPr>
          <w:rFonts w:ascii="Verdana" w:eastAsia="Verdana" w:hAnsi="Verdana" w:cs="Verdana"/>
          <w:color w:val="000000" w:themeColor="text1"/>
          <w:sz w:val="22"/>
          <w:szCs w:val="22"/>
        </w:rPr>
        <w:t xml:space="preserve">as opposed to specific </w:t>
      </w:r>
      <w:r w:rsidR="469A080B" w:rsidRPr="136F3BEB">
        <w:rPr>
          <w:rFonts w:ascii="Verdana" w:eastAsia="Verdana" w:hAnsi="Verdana" w:cs="Verdana"/>
          <w:color w:val="000000" w:themeColor="text1"/>
          <w:sz w:val="22"/>
          <w:szCs w:val="22"/>
        </w:rPr>
        <w:t>metrics</w:t>
      </w:r>
      <w:r w:rsidR="65534935" w:rsidRPr="136F3BEB">
        <w:rPr>
          <w:rFonts w:ascii="Verdana" w:eastAsia="Verdana" w:hAnsi="Verdana" w:cs="Verdana"/>
          <w:color w:val="000000" w:themeColor="text1"/>
          <w:sz w:val="22"/>
          <w:szCs w:val="22"/>
        </w:rPr>
        <w:t xml:space="preserve"> and overall experience good feedback regarding the service. </w:t>
      </w:r>
    </w:p>
    <w:p w14:paraId="0319A759" w14:textId="77777777" w:rsidR="006370CB" w:rsidRDefault="006370CB">
      <w:pPr>
        <w:spacing w:before="0" w:after="200"/>
        <w:rPr>
          <w:rFonts w:ascii="Verdana" w:hAnsi="Verdana"/>
          <w:b/>
          <w:bCs/>
          <w:color w:val="2D7C82"/>
          <w:sz w:val="28"/>
          <w:szCs w:val="28"/>
        </w:rPr>
      </w:pPr>
      <w:r w:rsidRPr="136F3BEB">
        <w:rPr>
          <w:rFonts w:ascii="Verdana" w:hAnsi="Verdana"/>
          <w:color w:val="2D7C82"/>
          <w:sz w:val="28"/>
          <w:szCs w:val="28"/>
        </w:rPr>
        <w:br w:type="page"/>
      </w:r>
    </w:p>
    <w:p w14:paraId="0A35B736" w14:textId="77777777" w:rsidR="009F2C10" w:rsidRPr="008D6AC4" w:rsidRDefault="292EBCE6" w:rsidP="136F3BEB">
      <w:pPr>
        <w:pStyle w:val="Heading1"/>
        <w:numPr>
          <w:ilvl w:val="0"/>
          <w:numId w:val="0"/>
        </w:numPr>
        <w:spacing w:after="0"/>
        <w:rPr>
          <w:rFonts w:ascii="Verdana" w:eastAsiaTheme="minorEastAsia" w:hAnsi="Verdana"/>
          <w:color w:val="2D7C82"/>
          <w:sz w:val="28"/>
          <w:szCs w:val="28"/>
        </w:rPr>
      </w:pPr>
      <w:bookmarkStart w:id="85" w:name="_Toc493919261"/>
      <w:r w:rsidRPr="136F3BEB">
        <w:rPr>
          <w:rFonts w:ascii="Verdana" w:eastAsiaTheme="minorEastAsia" w:hAnsi="Verdana"/>
          <w:color w:val="2D7C82"/>
          <w:sz w:val="28"/>
          <w:szCs w:val="28"/>
        </w:rPr>
        <w:lastRenderedPageBreak/>
        <w:t>11</w:t>
      </w:r>
      <w:r w:rsidR="21569CA0" w:rsidRPr="136F3BEB">
        <w:rPr>
          <w:rFonts w:ascii="Verdana" w:eastAsiaTheme="minorEastAsia" w:hAnsi="Verdana"/>
          <w:color w:val="2D7C82"/>
          <w:sz w:val="28"/>
          <w:szCs w:val="28"/>
        </w:rPr>
        <w:t>.</w:t>
      </w:r>
      <w:r w:rsidR="535D2091" w:rsidRPr="136F3BEB">
        <w:rPr>
          <w:rFonts w:ascii="Verdana" w:eastAsiaTheme="minorEastAsia" w:hAnsi="Verdana"/>
          <w:color w:val="2D7C82"/>
          <w:sz w:val="28"/>
          <w:szCs w:val="28"/>
        </w:rPr>
        <w:t xml:space="preserve"> </w:t>
      </w:r>
      <w:r w:rsidR="69FAC271">
        <w:tab/>
      </w:r>
      <w:r w:rsidR="70BE7CE3" w:rsidRPr="136F3BEB">
        <w:rPr>
          <w:rFonts w:ascii="Verdana" w:eastAsiaTheme="minorEastAsia" w:hAnsi="Verdana"/>
          <w:color w:val="2D7C82"/>
          <w:sz w:val="28"/>
          <w:szCs w:val="28"/>
        </w:rPr>
        <w:t>Recommendations</w:t>
      </w:r>
      <w:bookmarkEnd w:id="85"/>
      <w:r w:rsidR="70BE7CE3" w:rsidRPr="136F3BEB">
        <w:rPr>
          <w:rFonts w:ascii="Verdana" w:eastAsiaTheme="minorEastAsia" w:hAnsi="Verdana"/>
          <w:color w:val="2D7C82"/>
          <w:sz w:val="28"/>
          <w:szCs w:val="28"/>
        </w:rPr>
        <w:t xml:space="preserve"> </w:t>
      </w:r>
    </w:p>
    <w:p w14:paraId="49C236BC" w14:textId="77777777" w:rsidR="009F2C10" w:rsidRPr="008D6AC4" w:rsidRDefault="69FAC271" w:rsidP="136F3BEB">
      <w:pPr>
        <w:spacing w:after="0"/>
        <w:jc w:val="both"/>
        <w:rPr>
          <w:rFonts w:ascii="Verdana" w:hAnsi="Verdana"/>
          <w:sz w:val="22"/>
          <w:szCs w:val="22"/>
        </w:rPr>
      </w:pPr>
      <w:r>
        <w:br/>
      </w:r>
      <w:r w:rsidR="53C529AF" w:rsidRPr="136F3BEB">
        <w:rPr>
          <w:rFonts w:ascii="Verdana" w:hAnsi="Verdana"/>
          <w:sz w:val="22"/>
          <w:szCs w:val="22"/>
        </w:rPr>
        <w:t xml:space="preserve">Overall, the findings of this Health Needs Assessment confirms that much of the work and efforts underway across Kent County Council to ensure good sexual health and wellbeing for </w:t>
      </w:r>
      <w:r w:rsidR="6595FD36" w:rsidRPr="136F3BEB">
        <w:rPr>
          <w:rFonts w:ascii="Verdana" w:hAnsi="Verdana"/>
          <w:sz w:val="22"/>
          <w:szCs w:val="22"/>
        </w:rPr>
        <w:t>residents</w:t>
      </w:r>
      <w:r w:rsidR="53C529AF" w:rsidRPr="136F3BEB">
        <w:rPr>
          <w:rFonts w:ascii="Verdana" w:hAnsi="Verdana"/>
          <w:sz w:val="22"/>
          <w:szCs w:val="22"/>
        </w:rPr>
        <w:t xml:space="preserve"> is </w:t>
      </w:r>
      <w:r w:rsidR="3D5E7EB4" w:rsidRPr="136F3BEB">
        <w:rPr>
          <w:rFonts w:ascii="Verdana" w:hAnsi="Verdana"/>
          <w:sz w:val="22"/>
          <w:szCs w:val="22"/>
        </w:rPr>
        <w:t xml:space="preserve">both </w:t>
      </w:r>
      <w:r w:rsidR="53C529AF" w:rsidRPr="136F3BEB">
        <w:rPr>
          <w:rFonts w:ascii="Verdana" w:hAnsi="Verdana"/>
          <w:sz w:val="22"/>
          <w:szCs w:val="22"/>
        </w:rPr>
        <w:t xml:space="preserve">valued and </w:t>
      </w:r>
      <w:r w:rsidR="2DFF6492" w:rsidRPr="136F3BEB">
        <w:rPr>
          <w:rFonts w:ascii="Verdana" w:hAnsi="Verdana"/>
          <w:sz w:val="22"/>
          <w:szCs w:val="22"/>
        </w:rPr>
        <w:t xml:space="preserve">generally </w:t>
      </w:r>
      <w:r w:rsidR="53C529AF" w:rsidRPr="136F3BEB">
        <w:rPr>
          <w:rFonts w:ascii="Verdana" w:hAnsi="Verdana"/>
          <w:sz w:val="22"/>
          <w:szCs w:val="22"/>
        </w:rPr>
        <w:t>effective i</w:t>
      </w:r>
      <w:r w:rsidR="6B3022D6" w:rsidRPr="136F3BEB">
        <w:rPr>
          <w:rFonts w:ascii="Verdana" w:hAnsi="Verdana"/>
          <w:sz w:val="22"/>
          <w:szCs w:val="22"/>
        </w:rPr>
        <w:t xml:space="preserve">n delivering services to meet local needs. However, there is opportunity to build on this further through a variety of areas, both within the scope of the transformation programme underway and beyond this also. These recommendations have been outlined </w:t>
      </w:r>
      <w:r w:rsidR="629C4E15" w:rsidRPr="136F3BEB">
        <w:rPr>
          <w:rFonts w:ascii="Verdana" w:hAnsi="Verdana"/>
          <w:sz w:val="22"/>
          <w:szCs w:val="22"/>
        </w:rPr>
        <w:t xml:space="preserve">in the sections below. </w:t>
      </w:r>
    </w:p>
    <w:p w14:paraId="3ABAA9E6" w14:textId="77777777" w:rsidR="009F2C10" w:rsidRPr="008D6AC4" w:rsidRDefault="629C4E15" w:rsidP="136F3BEB">
      <w:pPr>
        <w:pStyle w:val="Heading2"/>
        <w:numPr>
          <w:ilvl w:val="0"/>
          <w:numId w:val="0"/>
        </w:numPr>
        <w:spacing w:after="0"/>
        <w:jc w:val="both"/>
        <w:rPr>
          <w:rFonts w:ascii="Verdana" w:hAnsi="Verdana"/>
          <w:sz w:val="22"/>
          <w:szCs w:val="22"/>
        </w:rPr>
      </w:pPr>
      <w:bookmarkStart w:id="86" w:name="_Toc2019610212"/>
      <w:r w:rsidRPr="136F3BEB">
        <w:rPr>
          <w:rFonts w:ascii="Verdana" w:hAnsi="Verdana"/>
          <w:sz w:val="22"/>
          <w:szCs w:val="22"/>
        </w:rPr>
        <w:t>11</w:t>
      </w:r>
      <w:r w:rsidR="70BE7CE3" w:rsidRPr="136F3BEB">
        <w:rPr>
          <w:rFonts w:ascii="Verdana" w:hAnsi="Verdana"/>
          <w:sz w:val="22"/>
          <w:szCs w:val="22"/>
        </w:rPr>
        <w:t>.1 Key overarching recommendations:</w:t>
      </w:r>
      <w:bookmarkEnd w:id="86"/>
    </w:p>
    <w:p w14:paraId="26149E6B" w14:textId="77777777" w:rsidR="009F2C10" w:rsidRPr="008D6AC4" w:rsidRDefault="009F2C10" w:rsidP="136F3BEB">
      <w:pPr>
        <w:spacing w:before="0" w:after="0" w:line="240" w:lineRule="auto"/>
        <w:jc w:val="both"/>
        <w:rPr>
          <w:rFonts w:ascii="Verdana" w:eastAsia="Times New Roman" w:hAnsi="Verdana" w:cs="Calibri"/>
          <w:b/>
          <w:bCs/>
          <w:sz w:val="22"/>
          <w:szCs w:val="22"/>
        </w:rPr>
      </w:pPr>
    </w:p>
    <w:p w14:paraId="000E3BC0" w14:textId="77777777" w:rsidR="009F2C10" w:rsidRPr="008D6AC4" w:rsidRDefault="272E3424" w:rsidP="136F3BEB">
      <w:pPr>
        <w:spacing w:before="0" w:after="0" w:line="240" w:lineRule="auto"/>
        <w:jc w:val="both"/>
        <w:rPr>
          <w:rFonts w:ascii="Verdana" w:hAnsi="Verdana"/>
          <w:sz w:val="22"/>
          <w:szCs w:val="22"/>
        </w:rPr>
      </w:pPr>
      <w:r w:rsidRPr="136F3BEB">
        <w:rPr>
          <w:rFonts w:ascii="Verdana" w:hAnsi="Verdana"/>
          <w:sz w:val="22"/>
          <w:szCs w:val="22"/>
        </w:rPr>
        <w:t xml:space="preserve">There is a need for focus on the following areas across the Sexual Health portfolio to strengthen the good practice underway to ensure it is even more local needs informed, service user led, effective in its impact, and also optimally able to </w:t>
      </w:r>
      <w:r w:rsidR="0546578C" w:rsidRPr="136F3BEB">
        <w:rPr>
          <w:rFonts w:ascii="Verdana" w:hAnsi="Verdana"/>
          <w:sz w:val="22"/>
          <w:szCs w:val="22"/>
        </w:rPr>
        <w:t xml:space="preserve">drive down inequity that exists. </w:t>
      </w:r>
      <w:r w:rsidR="69FAC271">
        <w:br/>
      </w:r>
    </w:p>
    <w:p w14:paraId="3D16F62A" w14:textId="77777777" w:rsidR="009F2C10" w:rsidRPr="008D6AC4" w:rsidRDefault="6E2C08BA" w:rsidP="136F3BEB">
      <w:pPr>
        <w:pStyle w:val="paragraph"/>
        <w:numPr>
          <w:ilvl w:val="0"/>
          <w:numId w:val="2"/>
        </w:numPr>
        <w:spacing w:before="0" w:beforeAutospacing="0" w:after="0" w:afterAutospacing="0"/>
        <w:jc w:val="both"/>
        <w:rPr>
          <w:rStyle w:val="normaltextrun"/>
          <w:rFonts w:ascii="Verdana" w:eastAsiaTheme="majorEastAsia" w:hAnsi="Verdana" w:cs="Calibri"/>
          <w:b/>
          <w:bCs/>
          <w:sz w:val="22"/>
          <w:szCs w:val="22"/>
        </w:rPr>
      </w:pPr>
      <w:r w:rsidRPr="136F3BEB">
        <w:rPr>
          <w:rStyle w:val="normaltextrun"/>
          <w:rFonts w:ascii="Verdana" w:eastAsiaTheme="majorEastAsia" w:hAnsi="Verdana" w:cs="Calibri"/>
          <w:b/>
          <w:bCs/>
          <w:sz w:val="22"/>
          <w:szCs w:val="22"/>
        </w:rPr>
        <w:t>I</w:t>
      </w:r>
      <w:r w:rsidR="70BE7CE3" w:rsidRPr="136F3BEB">
        <w:rPr>
          <w:rStyle w:val="normaltextrun"/>
          <w:rFonts w:ascii="Verdana" w:eastAsiaTheme="majorEastAsia" w:hAnsi="Verdana" w:cs="Calibri"/>
          <w:b/>
          <w:bCs/>
          <w:sz w:val="22"/>
          <w:szCs w:val="22"/>
        </w:rPr>
        <w:t>ncrease insights from residents, users and non-users of services, and those who have sexual health needs in Kent.</w:t>
      </w:r>
      <w:r w:rsidR="4AD1F2E6" w:rsidRPr="136F3BEB">
        <w:rPr>
          <w:rStyle w:val="normaltextrun"/>
          <w:rFonts w:ascii="Verdana" w:eastAsiaTheme="majorEastAsia" w:hAnsi="Verdana" w:cs="Calibri"/>
          <w:b/>
          <w:bCs/>
          <w:sz w:val="22"/>
          <w:szCs w:val="22"/>
        </w:rPr>
        <w:t xml:space="preserve"> This should be done in a range of ways including:</w:t>
      </w:r>
    </w:p>
    <w:p w14:paraId="34EE72B1" w14:textId="77777777" w:rsidR="009F2C10" w:rsidRPr="008D6AC4" w:rsidRDefault="69FAC271" w:rsidP="136F3BEB">
      <w:pPr>
        <w:pStyle w:val="paragraph"/>
        <w:spacing w:before="0" w:beforeAutospacing="0" w:after="0" w:afterAutospacing="0"/>
        <w:jc w:val="both"/>
        <w:rPr>
          <w:rStyle w:val="eop"/>
          <w:rFonts w:ascii="Verdana" w:hAnsi="Verdana" w:cs="Calibri"/>
          <w:sz w:val="22"/>
          <w:szCs w:val="22"/>
        </w:rPr>
      </w:pPr>
      <w:r>
        <w:br/>
      </w:r>
      <w:r w:rsidR="36CAF650" w:rsidRPr="136F3BEB">
        <w:rPr>
          <w:rStyle w:val="eop"/>
          <w:rFonts w:ascii="Verdana" w:hAnsi="Verdana" w:cs="Calibri"/>
          <w:sz w:val="22"/>
          <w:szCs w:val="22"/>
        </w:rPr>
        <w:t>A) Service user experience and insight information gathering by providers as part of their routine data collection and sharing, which may be part of contract management but also routine good practice for sharing t</w:t>
      </w:r>
      <w:r w:rsidR="5DEF5CDC" w:rsidRPr="136F3BEB">
        <w:rPr>
          <w:rStyle w:val="eop"/>
          <w:rFonts w:ascii="Verdana" w:hAnsi="Verdana" w:cs="Calibri"/>
          <w:sz w:val="22"/>
          <w:szCs w:val="22"/>
        </w:rPr>
        <w:t xml:space="preserve">o inform ongoing service optimisation. </w:t>
      </w:r>
      <w:r w:rsidR="4858B6A5" w:rsidRPr="136F3BEB">
        <w:rPr>
          <w:rStyle w:val="eop"/>
          <w:rFonts w:ascii="Verdana" w:hAnsi="Verdana" w:cs="Calibri"/>
          <w:sz w:val="22"/>
          <w:szCs w:val="22"/>
        </w:rPr>
        <w:t xml:space="preserve">This includes work being done as part of outreach for their services. </w:t>
      </w:r>
      <w:r w:rsidR="34EDEA3C" w:rsidRPr="136F3BEB">
        <w:rPr>
          <w:rStyle w:val="eop"/>
          <w:rFonts w:ascii="Verdana" w:hAnsi="Verdana" w:cs="Calibri"/>
          <w:sz w:val="22"/>
          <w:szCs w:val="22"/>
        </w:rPr>
        <w:t xml:space="preserve">This should commence with immediate effective through the review of all contracts for transformation and more generally, and strengthened wording and data collection methods introduced for the next round of commissioning to optimise this going forward. </w:t>
      </w:r>
      <w:r>
        <w:br/>
      </w:r>
    </w:p>
    <w:p w14:paraId="3AB2B1B7" w14:textId="77777777" w:rsidR="009F2C10" w:rsidRPr="008D6AC4" w:rsidRDefault="692C85A0" w:rsidP="136F3BEB">
      <w:pPr>
        <w:pStyle w:val="paragraph"/>
        <w:spacing w:before="0" w:beforeAutospacing="0" w:after="0" w:afterAutospacing="0"/>
        <w:jc w:val="both"/>
        <w:rPr>
          <w:rStyle w:val="eop"/>
          <w:rFonts w:ascii="Verdana" w:hAnsi="Verdana" w:cs="Calibri"/>
          <w:sz w:val="22"/>
          <w:szCs w:val="22"/>
        </w:rPr>
      </w:pPr>
      <w:r w:rsidRPr="136F3BEB">
        <w:rPr>
          <w:rStyle w:val="eop"/>
          <w:rFonts w:ascii="Verdana" w:hAnsi="Verdana" w:cs="Calibri"/>
          <w:sz w:val="22"/>
          <w:szCs w:val="22"/>
        </w:rPr>
        <w:t xml:space="preserve">B) Public health campaigns and activities </w:t>
      </w:r>
      <w:r w:rsidR="06767BA3" w:rsidRPr="136F3BEB">
        <w:rPr>
          <w:rStyle w:val="eop"/>
          <w:rFonts w:ascii="Verdana" w:hAnsi="Verdana" w:cs="Calibri"/>
          <w:sz w:val="22"/>
          <w:szCs w:val="22"/>
        </w:rPr>
        <w:t xml:space="preserve">to gain insights about the needs of local residents which may take the form of online, virtual or in person engagement particularly with under-served and groups at risk of poorer sexual health and wellbeing. </w:t>
      </w:r>
      <w:r w:rsidR="0FA6F098" w:rsidRPr="136F3BEB">
        <w:rPr>
          <w:rStyle w:val="eop"/>
          <w:rFonts w:ascii="Verdana" w:hAnsi="Verdana" w:cs="Calibri"/>
          <w:sz w:val="22"/>
          <w:szCs w:val="22"/>
        </w:rPr>
        <w:t>It is recommended that dedicated communications and engagement support is secured and a plan developed to undertake this in a consistent way to both aid raising awareness and maximising uptake of services, but also to undertake more listening activities and using this to tailor services to meet local</w:t>
      </w:r>
      <w:r w:rsidR="5EF70C3E" w:rsidRPr="136F3BEB">
        <w:rPr>
          <w:rStyle w:val="eop"/>
          <w:rFonts w:ascii="Verdana" w:hAnsi="Verdana" w:cs="Calibri"/>
          <w:sz w:val="22"/>
          <w:szCs w:val="22"/>
        </w:rPr>
        <w:t xml:space="preserve"> needs better too. </w:t>
      </w:r>
      <w:r w:rsidR="69FAC271">
        <w:br/>
      </w:r>
    </w:p>
    <w:p w14:paraId="745882E8" w14:textId="77777777" w:rsidR="009F2C10" w:rsidRPr="008D6AC4" w:rsidRDefault="59B4C6A6" w:rsidP="136F3BEB">
      <w:pPr>
        <w:pStyle w:val="paragraph"/>
        <w:spacing w:before="0" w:beforeAutospacing="0" w:after="0" w:afterAutospacing="0"/>
        <w:jc w:val="both"/>
        <w:rPr>
          <w:rStyle w:val="normaltextrun"/>
          <w:rFonts w:ascii="Verdana" w:eastAsiaTheme="majorEastAsia" w:hAnsi="Verdana" w:cs="Calibri"/>
          <w:sz w:val="22"/>
          <w:szCs w:val="22"/>
        </w:rPr>
      </w:pPr>
      <w:r w:rsidRPr="136F3BEB">
        <w:rPr>
          <w:rStyle w:val="eop"/>
          <w:rFonts w:ascii="Verdana" w:hAnsi="Verdana" w:cs="Calibri"/>
          <w:sz w:val="22"/>
          <w:szCs w:val="22"/>
        </w:rPr>
        <w:t xml:space="preserve">C) In addition to this, it is recommended that deep dives are undertaken in areas highlighted by this needs assessment as needing further attention. This includes seeking to understand insights about what is working well to learn lessons </w:t>
      </w:r>
      <w:r w:rsidR="3CC104A0" w:rsidRPr="136F3BEB">
        <w:rPr>
          <w:rStyle w:val="eop"/>
          <w:rFonts w:ascii="Verdana" w:hAnsi="Verdana" w:cs="Calibri"/>
          <w:sz w:val="22"/>
          <w:szCs w:val="22"/>
        </w:rPr>
        <w:t xml:space="preserve">(for example women in Maidstone who have been accessing Chlamydia testing) </w:t>
      </w:r>
      <w:r w:rsidRPr="136F3BEB">
        <w:rPr>
          <w:rStyle w:val="eop"/>
          <w:rFonts w:ascii="Verdana" w:hAnsi="Verdana" w:cs="Calibri"/>
          <w:sz w:val="22"/>
          <w:szCs w:val="22"/>
        </w:rPr>
        <w:t>as well as groups who have not yet been reach</w:t>
      </w:r>
      <w:r w:rsidR="570FC267" w:rsidRPr="136F3BEB">
        <w:rPr>
          <w:rStyle w:val="eop"/>
          <w:rFonts w:ascii="Verdana" w:hAnsi="Verdana" w:cs="Calibri"/>
          <w:sz w:val="22"/>
          <w:szCs w:val="22"/>
        </w:rPr>
        <w:t>ed optimally (for example Gypsy Roma Traveller communities)</w:t>
      </w:r>
      <w:r w:rsidR="19D743AA" w:rsidRPr="136F3BEB">
        <w:rPr>
          <w:rStyle w:val="eop"/>
          <w:rFonts w:ascii="Verdana" w:hAnsi="Verdana" w:cs="Calibri"/>
          <w:sz w:val="22"/>
          <w:szCs w:val="22"/>
        </w:rPr>
        <w:t>. It is recommended that this is undertaken within the next 6 months to help inform next steps early for this work. It is also recommended that this is undertaken in partnership with other teams across the public health directorate and council as well as other partners who are already doing good work in linked areas</w:t>
      </w:r>
      <w:r w:rsidR="4C865444" w:rsidRPr="136F3BEB">
        <w:rPr>
          <w:rStyle w:val="eop"/>
          <w:rFonts w:ascii="Verdana" w:hAnsi="Verdana" w:cs="Calibri"/>
          <w:sz w:val="22"/>
          <w:szCs w:val="22"/>
        </w:rPr>
        <w:t xml:space="preserve"> for this. </w:t>
      </w:r>
      <w:r w:rsidR="69FAC271">
        <w:br/>
      </w:r>
    </w:p>
    <w:p w14:paraId="02A2FECA" w14:textId="77777777" w:rsidR="009F2C10" w:rsidRPr="008D6AC4" w:rsidRDefault="667EE61A" w:rsidP="136F3BEB">
      <w:pPr>
        <w:pStyle w:val="paragraph"/>
        <w:numPr>
          <w:ilvl w:val="0"/>
          <w:numId w:val="2"/>
        </w:numPr>
        <w:spacing w:before="0" w:beforeAutospacing="0" w:after="0" w:afterAutospacing="0"/>
        <w:jc w:val="both"/>
        <w:rPr>
          <w:rStyle w:val="normaltextrun"/>
          <w:rFonts w:ascii="Verdana" w:eastAsiaTheme="majorEastAsia" w:hAnsi="Verdana" w:cs="Calibri"/>
          <w:b/>
          <w:bCs/>
          <w:sz w:val="22"/>
          <w:szCs w:val="22"/>
        </w:rPr>
      </w:pPr>
      <w:r w:rsidRPr="136F3BEB">
        <w:rPr>
          <w:rStyle w:val="normaltextrun"/>
          <w:rFonts w:ascii="Verdana" w:eastAsiaTheme="majorEastAsia" w:hAnsi="Verdana" w:cs="Calibri"/>
          <w:b/>
          <w:bCs/>
          <w:sz w:val="22"/>
          <w:szCs w:val="22"/>
        </w:rPr>
        <w:lastRenderedPageBreak/>
        <w:t>C</w:t>
      </w:r>
      <w:r w:rsidR="70BE7CE3" w:rsidRPr="136F3BEB">
        <w:rPr>
          <w:rStyle w:val="normaltextrun"/>
          <w:rFonts w:ascii="Verdana" w:eastAsiaTheme="majorEastAsia" w:hAnsi="Verdana" w:cs="Calibri"/>
          <w:b/>
          <w:bCs/>
          <w:sz w:val="22"/>
          <w:szCs w:val="22"/>
        </w:rPr>
        <w:t>ontinue to develop understanding via collaboration with stakeholders of sexual health needs of inclusion groups in Kent, and ensure services are appropriately tailored and appropriately responsive to changing needs. For example, understanding the impact of chemsex on sexual health outcomes for some groups of the population.</w:t>
      </w:r>
    </w:p>
    <w:p w14:paraId="42152C47" w14:textId="77777777" w:rsidR="009F2C10" w:rsidRPr="008D6AC4" w:rsidRDefault="009F2C10" w:rsidP="136F3BEB">
      <w:pPr>
        <w:pStyle w:val="paragraph"/>
        <w:spacing w:before="0" w:beforeAutospacing="0" w:after="0" w:afterAutospacing="0"/>
        <w:jc w:val="both"/>
        <w:rPr>
          <w:rStyle w:val="normaltextrun"/>
          <w:rFonts w:ascii="Verdana" w:eastAsiaTheme="majorEastAsia" w:hAnsi="Verdana" w:cs="Calibri"/>
          <w:sz w:val="22"/>
          <w:szCs w:val="22"/>
        </w:rPr>
      </w:pPr>
    </w:p>
    <w:p w14:paraId="41506FAB" w14:textId="77777777" w:rsidR="009F2C10" w:rsidRPr="008D6AC4" w:rsidRDefault="4ED0AE9D" w:rsidP="136F3BEB">
      <w:pPr>
        <w:pStyle w:val="paragraph"/>
        <w:spacing w:before="0" w:beforeAutospacing="0" w:after="0" w:afterAutospacing="0"/>
        <w:jc w:val="both"/>
        <w:rPr>
          <w:rStyle w:val="normaltextrun"/>
          <w:rFonts w:ascii="Verdana" w:eastAsiaTheme="majorEastAsia" w:hAnsi="Verdana" w:cs="Calibri"/>
          <w:sz w:val="22"/>
          <w:szCs w:val="22"/>
        </w:rPr>
      </w:pPr>
      <w:r w:rsidRPr="136F3BEB">
        <w:rPr>
          <w:rStyle w:val="normaltextrun"/>
          <w:rFonts w:ascii="Verdana" w:eastAsiaTheme="majorEastAsia" w:hAnsi="Verdana" w:cs="Calibri"/>
          <w:sz w:val="22"/>
          <w:szCs w:val="22"/>
        </w:rPr>
        <w:t>This work has highlighted the overlapping nature of sexual health with many other areas of work, and teams across the council and more widely. It has also showed the need for continued focus on sexual health, and that without proactive focus it becomes an area that can easily be overlooked in the other portfolios</w:t>
      </w:r>
      <w:r w:rsidR="07856736" w:rsidRPr="136F3BEB">
        <w:rPr>
          <w:rStyle w:val="normaltextrun"/>
          <w:rFonts w:ascii="Verdana" w:eastAsiaTheme="majorEastAsia" w:hAnsi="Verdana" w:cs="Calibri"/>
          <w:sz w:val="22"/>
          <w:szCs w:val="22"/>
        </w:rPr>
        <w:t xml:space="preserve"> also. The onus therefore becomes for the next steps of this work to map the various interlinking areas, and to </w:t>
      </w:r>
      <w:r w:rsidR="26147FD2" w:rsidRPr="136F3BEB">
        <w:rPr>
          <w:rStyle w:val="normaltextrun"/>
          <w:rFonts w:ascii="Verdana" w:eastAsiaTheme="majorEastAsia" w:hAnsi="Verdana" w:cs="Calibri"/>
          <w:sz w:val="22"/>
          <w:szCs w:val="22"/>
        </w:rPr>
        <w:t>strengthen</w:t>
      </w:r>
      <w:r w:rsidR="07856736" w:rsidRPr="136F3BEB">
        <w:rPr>
          <w:rStyle w:val="normaltextrun"/>
          <w:rFonts w:ascii="Verdana" w:eastAsiaTheme="majorEastAsia" w:hAnsi="Verdana" w:cs="Calibri"/>
          <w:sz w:val="22"/>
          <w:szCs w:val="22"/>
        </w:rPr>
        <w:t xml:space="preserve"> connections and build greater advocacy for sexual health in those areas, as well as considering what added strength the sexual health work area </w:t>
      </w:r>
      <w:r w:rsidR="0C8CF1FB" w:rsidRPr="136F3BEB">
        <w:rPr>
          <w:rStyle w:val="normaltextrun"/>
          <w:rFonts w:ascii="Verdana" w:eastAsiaTheme="majorEastAsia" w:hAnsi="Verdana" w:cs="Calibri"/>
          <w:sz w:val="22"/>
          <w:szCs w:val="22"/>
        </w:rPr>
        <w:t>can</w:t>
      </w:r>
      <w:r w:rsidR="07856736" w:rsidRPr="136F3BEB">
        <w:rPr>
          <w:rStyle w:val="normaltextrun"/>
          <w:rFonts w:ascii="Verdana" w:eastAsiaTheme="majorEastAsia" w:hAnsi="Verdana" w:cs="Calibri"/>
          <w:sz w:val="22"/>
          <w:szCs w:val="22"/>
        </w:rPr>
        <w:t xml:space="preserve"> bring to other areas such as domestic abuse or sexual violence. </w:t>
      </w:r>
      <w:r w:rsidR="73D6F3E2" w:rsidRPr="136F3BEB">
        <w:rPr>
          <w:rStyle w:val="normaltextrun"/>
          <w:rFonts w:ascii="Verdana" w:eastAsiaTheme="majorEastAsia" w:hAnsi="Verdana" w:cs="Calibri"/>
          <w:sz w:val="22"/>
          <w:szCs w:val="22"/>
        </w:rPr>
        <w:t xml:space="preserve">It is recommended that the sexual health team undertakes this mapping exercise within the next 3-6 months and starts to build connections across the teams to strengthen this focus. </w:t>
      </w:r>
    </w:p>
    <w:p w14:paraId="45D8D5BA" w14:textId="77777777" w:rsidR="009F2C10" w:rsidRPr="008D6AC4" w:rsidRDefault="009F2C10" w:rsidP="136F3BEB">
      <w:pPr>
        <w:pStyle w:val="paragraph"/>
        <w:spacing w:before="0" w:beforeAutospacing="0" w:after="0" w:afterAutospacing="0"/>
        <w:jc w:val="both"/>
        <w:rPr>
          <w:rStyle w:val="normaltextrun"/>
          <w:rFonts w:ascii="Verdana" w:eastAsiaTheme="majorEastAsia" w:hAnsi="Verdana" w:cs="Calibri"/>
          <w:sz w:val="22"/>
          <w:szCs w:val="22"/>
        </w:rPr>
      </w:pPr>
    </w:p>
    <w:p w14:paraId="2A8C1BE9" w14:textId="77777777" w:rsidR="009F2C10" w:rsidRPr="008D6AC4" w:rsidRDefault="5BD0D1D0" w:rsidP="136F3BEB">
      <w:pPr>
        <w:pStyle w:val="paragraph"/>
        <w:numPr>
          <w:ilvl w:val="0"/>
          <w:numId w:val="2"/>
        </w:numPr>
        <w:spacing w:before="0" w:beforeAutospacing="0" w:after="0" w:afterAutospacing="0"/>
        <w:jc w:val="both"/>
        <w:rPr>
          <w:rStyle w:val="normaltextrun"/>
          <w:rFonts w:ascii="Verdana" w:eastAsiaTheme="majorEastAsia" w:hAnsi="Verdana" w:cs="Calibri"/>
          <w:b/>
          <w:bCs/>
          <w:sz w:val="22"/>
          <w:szCs w:val="22"/>
        </w:rPr>
      </w:pPr>
      <w:r w:rsidRPr="136F3BEB">
        <w:rPr>
          <w:rStyle w:val="normaltextrun"/>
          <w:rFonts w:ascii="Verdana" w:eastAsiaTheme="majorEastAsia" w:hAnsi="Verdana" w:cs="Calibri"/>
          <w:b/>
          <w:bCs/>
          <w:sz w:val="22"/>
          <w:szCs w:val="22"/>
        </w:rPr>
        <w:t>S</w:t>
      </w:r>
      <w:r w:rsidR="70BE7CE3" w:rsidRPr="136F3BEB">
        <w:rPr>
          <w:rStyle w:val="normaltextrun"/>
          <w:rFonts w:ascii="Verdana" w:eastAsiaTheme="majorEastAsia" w:hAnsi="Verdana" w:cs="Calibri"/>
          <w:b/>
          <w:bCs/>
          <w:sz w:val="22"/>
          <w:szCs w:val="22"/>
        </w:rPr>
        <w:t>pend time establishing a sexual health network or collaborative, including providers, commissioners, mental health, alcohol and drug services, domestic abuse, sexual assault, and prison health services and UK Health Security Agency (UKHSA). Exploring co-location of services</w:t>
      </w:r>
      <w:r w:rsidR="70BE7CE3" w:rsidRPr="136F3BEB">
        <w:rPr>
          <w:rStyle w:val="eop"/>
          <w:rFonts w:ascii="Verdana" w:hAnsi="Verdana" w:cs="Calibri"/>
          <w:b/>
          <w:bCs/>
          <w:sz w:val="22"/>
          <w:szCs w:val="22"/>
        </w:rPr>
        <w:t> would help provide holistic care and integrated access for those with multiple needs.</w:t>
      </w:r>
    </w:p>
    <w:p w14:paraId="5C177D3A" w14:textId="77777777" w:rsidR="009F2C10" w:rsidRPr="008D6AC4" w:rsidRDefault="009F2C10" w:rsidP="136F3BEB">
      <w:pPr>
        <w:pStyle w:val="paragraph"/>
        <w:spacing w:before="0" w:beforeAutospacing="0" w:after="0" w:afterAutospacing="0"/>
        <w:jc w:val="both"/>
        <w:rPr>
          <w:rStyle w:val="normaltextrun"/>
          <w:rFonts w:ascii="Verdana" w:eastAsiaTheme="majorEastAsia" w:hAnsi="Verdana" w:cs="Calibri"/>
          <w:sz w:val="22"/>
          <w:szCs w:val="22"/>
        </w:rPr>
      </w:pPr>
    </w:p>
    <w:p w14:paraId="0C2C1422" w14:textId="77777777" w:rsidR="009F2C10" w:rsidRPr="008D6AC4" w:rsidRDefault="780078FD" w:rsidP="136F3BEB">
      <w:pPr>
        <w:pStyle w:val="paragraph"/>
        <w:spacing w:before="0" w:beforeAutospacing="0" w:after="0" w:afterAutospacing="0"/>
        <w:jc w:val="both"/>
        <w:rPr>
          <w:rStyle w:val="eop"/>
          <w:rFonts w:ascii="Verdana" w:hAnsi="Verdana" w:cs="Calibri"/>
          <w:sz w:val="22"/>
          <w:szCs w:val="22"/>
        </w:rPr>
      </w:pPr>
      <w:r w:rsidRPr="136F3BEB">
        <w:rPr>
          <w:rStyle w:val="normaltextrun"/>
          <w:rFonts w:ascii="Verdana" w:eastAsiaTheme="majorEastAsia" w:hAnsi="Verdana" w:cs="Calibri"/>
          <w:sz w:val="22"/>
          <w:szCs w:val="22"/>
        </w:rPr>
        <w:t xml:space="preserve">Through this work it is recognised that some of the good work that was happening previously, such as the Sexual Health Network for Kent, were lost through the various urgent other areas that came into focus such as the COVID-19 pandemic. This work has highlighted the need to re-establish this group, with a renewed focus on bringing together the various providers, to review the findings of this needs assessment and to start to align working to ensure more seamless, effective and equitable pathways of care for sexual health across Kent. It is recommended that that this group is re-commenced with some urgency in parallel with the transformation process that is underway, and that the group is utilised to help shape evolving plans. It is likely that this group will need to evolve over time to become a more formal part of the governance structures for sexual health oversight and delivery locally, for example through more formal connection with the Integrated Care Board and strategic delivery groups. However, initially it is likely to be important to convene the group, to scope the interest and co-create the plans for going forward as this will likely maximise engagement and optimise chances of success / sustainability. Furthermore, this will give the group the chance to shape the future direction utilising their own learning from what has worked previously to support. In addition to this, it will be helpful to continue the links with Southeast England region and England more generally for aligning public health efforts for sexual health. </w:t>
      </w:r>
      <w:r w:rsidR="70BE7CE3" w:rsidRPr="136F3BEB">
        <w:rPr>
          <w:rStyle w:val="eop"/>
          <w:rFonts w:ascii="Verdana" w:hAnsi="Verdana" w:cs="Calibri"/>
          <w:sz w:val="22"/>
          <w:szCs w:val="22"/>
        </w:rPr>
        <w:t xml:space="preserve"> </w:t>
      </w:r>
    </w:p>
    <w:p w14:paraId="120D0BB6" w14:textId="0F49C377" w:rsidR="009F2C10" w:rsidRPr="008D6AC4" w:rsidRDefault="70BE7CE3" w:rsidP="136F3BEB">
      <w:pPr>
        <w:pStyle w:val="paragraph"/>
        <w:numPr>
          <w:ilvl w:val="0"/>
          <w:numId w:val="2"/>
        </w:numPr>
        <w:spacing w:before="0" w:beforeAutospacing="0" w:after="0" w:afterAutospacing="0"/>
        <w:jc w:val="both"/>
        <w:rPr>
          <w:rStyle w:val="normaltextrun"/>
          <w:rFonts w:ascii="Verdana" w:eastAsiaTheme="majorEastAsia" w:hAnsi="Verdana" w:cs="Calibri"/>
          <w:b/>
          <w:bCs/>
          <w:sz w:val="22"/>
          <w:szCs w:val="22"/>
        </w:rPr>
      </w:pPr>
      <w:r w:rsidRPr="136F3BEB">
        <w:rPr>
          <w:rStyle w:val="normaltextrun"/>
          <w:rFonts w:ascii="Verdana" w:eastAsiaTheme="majorEastAsia" w:hAnsi="Verdana" w:cs="Calibri"/>
          <w:b/>
          <w:bCs/>
          <w:sz w:val="22"/>
          <w:szCs w:val="22"/>
        </w:rPr>
        <w:t xml:space="preserve">Given the wide remit of sexual health there is insufficient influence and collaboration with wider stakeholders. Therefore, it is recommended to increase partnership and system working to improve sexual health outcomes, </w:t>
      </w:r>
      <w:r w:rsidR="00F42E4B" w:rsidRPr="136F3BEB">
        <w:rPr>
          <w:rStyle w:val="normaltextrun"/>
          <w:rFonts w:ascii="Verdana" w:eastAsiaTheme="majorEastAsia" w:hAnsi="Verdana" w:cs="Calibri"/>
          <w:b/>
          <w:bCs/>
          <w:sz w:val="22"/>
          <w:szCs w:val="22"/>
        </w:rPr>
        <w:t>i.e.</w:t>
      </w:r>
      <w:r w:rsidRPr="136F3BEB">
        <w:rPr>
          <w:rStyle w:val="normaltextrun"/>
          <w:rFonts w:ascii="Verdana" w:eastAsiaTheme="majorEastAsia" w:hAnsi="Verdana" w:cs="Calibri"/>
          <w:b/>
          <w:bCs/>
          <w:sz w:val="22"/>
          <w:szCs w:val="22"/>
        </w:rPr>
        <w:t xml:space="preserve"> RSE in education, GRT community leaders</w:t>
      </w:r>
    </w:p>
    <w:p w14:paraId="1986F0CE" w14:textId="77777777" w:rsidR="009F2C10" w:rsidRPr="008D6AC4" w:rsidRDefault="009F2C10" w:rsidP="136F3BEB">
      <w:pPr>
        <w:pStyle w:val="paragraph"/>
        <w:spacing w:before="0" w:beforeAutospacing="0" w:after="0" w:afterAutospacing="0"/>
        <w:jc w:val="both"/>
        <w:rPr>
          <w:rStyle w:val="normaltextrun"/>
          <w:rFonts w:ascii="Verdana" w:eastAsiaTheme="majorEastAsia" w:hAnsi="Verdana" w:cs="Calibri"/>
          <w:sz w:val="22"/>
          <w:szCs w:val="22"/>
        </w:rPr>
      </w:pPr>
    </w:p>
    <w:p w14:paraId="68D0BE57" w14:textId="77777777" w:rsidR="009F2C10" w:rsidRPr="008D6AC4" w:rsidRDefault="5B7EF212" w:rsidP="136F3BEB">
      <w:pPr>
        <w:pStyle w:val="paragraph"/>
        <w:spacing w:before="0" w:beforeAutospacing="0" w:after="0" w:afterAutospacing="0"/>
        <w:jc w:val="both"/>
        <w:rPr>
          <w:rStyle w:val="normaltextrun"/>
          <w:rFonts w:ascii="Verdana" w:eastAsiaTheme="majorEastAsia" w:hAnsi="Verdana" w:cs="Calibri"/>
          <w:sz w:val="22"/>
          <w:szCs w:val="22"/>
        </w:rPr>
      </w:pPr>
      <w:r w:rsidRPr="136F3BEB">
        <w:rPr>
          <w:rStyle w:val="normaltextrun"/>
          <w:rFonts w:ascii="Verdana" w:eastAsiaTheme="majorEastAsia" w:hAnsi="Verdana" w:cs="Calibri"/>
          <w:sz w:val="22"/>
          <w:szCs w:val="22"/>
        </w:rPr>
        <w:t xml:space="preserve">Almost linking the two recommendations above, this work has highlighted the need for those working in sexual health to see the expert contribution that communities can make in shaping plans. </w:t>
      </w:r>
      <w:r w:rsidR="4AB706FA" w:rsidRPr="136F3BEB">
        <w:rPr>
          <w:rStyle w:val="normaltextrun"/>
          <w:rFonts w:ascii="Verdana" w:eastAsiaTheme="majorEastAsia" w:hAnsi="Verdana" w:cs="Calibri"/>
          <w:sz w:val="22"/>
          <w:szCs w:val="22"/>
        </w:rPr>
        <w:t>Therefore,</w:t>
      </w:r>
      <w:r w:rsidRPr="136F3BEB">
        <w:rPr>
          <w:rStyle w:val="normaltextrun"/>
          <w:rFonts w:ascii="Verdana" w:eastAsiaTheme="majorEastAsia" w:hAnsi="Verdana" w:cs="Calibri"/>
          <w:sz w:val="22"/>
          <w:szCs w:val="22"/>
        </w:rPr>
        <w:t xml:space="preserve"> whether in the collaborative or in </w:t>
      </w:r>
      <w:r w:rsidR="67A3921B" w:rsidRPr="136F3BEB">
        <w:rPr>
          <w:rStyle w:val="normaltextrun"/>
          <w:rFonts w:ascii="Verdana" w:eastAsiaTheme="majorEastAsia" w:hAnsi="Verdana" w:cs="Calibri"/>
          <w:sz w:val="22"/>
          <w:szCs w:val="22"/>
        </w:rPr>
        <w:t xml:space="preserve">communications and insights work, it is important to consider options for maximising the agency of the local population in leading these efforts and proactively driving change efforts themselves for this. </w:t>
      </w:r>
      <w:r w:rsidR="1EB7E285" w:rsidRPr="136F3BEB">
        <w:rPr>
          <w:rStyle w:val="normaltextrun"/>
          <w:rFonts w:ascii="Verdana" w:eastAsiaTheme="majorEastAsia" w:hAnsi="Verdana" w:cs="Calibri"/>
          <w:sz w:val="22"/>
          <w:szCs w:val="22"/>
        </w:rPr>
        <w:t xml:space="preserve">It is recommended that the sexual health team reviews best options to mobilise community assets through the steps above (starting with enquiry through the collaborative and the engagement work </w:t>
      </w:r>
      <w:r w:rsidR="359A030A" w:rsidRPr="136F3BEB">
        <w:rPr>
          <w:rStyle w:val="normaltextrun"/>
          <w:rFonts w:ascii="Verdana" w:eastAsiaTheme="majorEastAsia" w:hAnsi="Verdana" w:cs="Calibri"/>
          <w:sz w:val="22"/>
          <w:szCs w:val="22"/>
        </w:rPr>
        <w:t>to identify local assets and then building connections for example with community leaders and hubs). Similarly, given the plan for the public health team to strengthen its support across Kent for the Districts and the Health and Care Partnerships (HCPs</w:t>
      </w:r>
      <w:r w:rsidR="36198733" w:rsidRPr="136F3BEB">
        <w:rPr>
          <w:rStyle w:val="normaltextrun"/>
          <w:rFonts w:ascii="Verdana" w:eastAsiaTheme="majorEastAsia" w:hAnsi="Verdana" w:cs="Calibri"/>
          <w:sz w:val="22"/>
          <w:szCs w:val="22"/>
        </w:rPr>
        <w:t xml:space="preserve">) it would be helpful to start considering at each of these levels also the structures in place to optimise sexual health outcomes and wellbeing and the assets that exist to support this. </w:t>
      </w:r>
      <w:r w:rsidR="69FAC271">
        <w:br/>
      </w:r>
    </w:p>
    <w:p w14:paraId="2B22EF97" w14:textId="77777777" w:rsidR="009F2C10" w:rsidRPr="008D6AC4" w:rsidRDefault="5EE4F8C4" w:rsidP="136F3BEB">
      <w:pPr>
        <w:pStyle w:val="paragraph"/>
        <w:numPr>
          <w:ilvl w:val="0"/>
          <w:numId w:val="2"/>
        </w:numPr>
        <w:spacing w:before="0" w:beforeAutospacing="0" w:after="0" w:afterAutospacing="0"/>
        <w:jc w:val="both"/>
        <w:rPr>
          <w:rFonts w:ascii="Verdana" w:hAnsi="Verdana" w:cs="Calibri"/>
          <w:b/>
          <w:bCs/>
          <w:sz w:val="22"/>
          <w:szCs w:val="22"/>
        </w:rPr>
      </w:pPr>
      <w:r w:rsidRPr="136F3BEB">
        <w:rPr>
          <w:rStyle w:val="normaltextrun"/>
          <w:rFonts w:ascii="Verdana" w:eastAsiaTheme="majorEastAsia" w:hAnsi="Verdana" w:cs="Calibri"/>
          <w:b/>
          <w:bCs/>
          <w:sz w:val="22"/>
          <w:szCs w:val="22"/>
        </w:rPr>
        <w:t>C</w:t>
      </w:r>
      <w:r w:rsidR="70BE7CE3" w:rsidRPr="136F3BEB">
        <w:rPr>
          <w:rStyle w:val="normaltextrun"/>
          <w:rFonts w:ascii="Verdana" w:eastAsiaTheme="majorEastAsia" w:hAnsi="Verdana" w:cs="Calibri"/>
          <w:b/>
          <w:bCs/>
          <w:sz w:val="22"/>
          <w:szCs w:val="22"/>
        </w:rPr>
        <w:t>ollaborate with and contribute to the establishment of women’s health hubs in Kent.</w:t>
      </w:r>
      <w:r w:rsidR="70BE7CE3" w:rsidRPr="136F3BEB">
        <w:rPr>
          <w:rStyle w:val="eop"/>
          <w:rFonts w:ascii="Verdana" w:hAnsi="Verdana" w:cs="Calibri"/>
          <w:b/>
          <w:bCs/>
          <w:sz w:val="22"/>
          <w:szCs w:val="22"/>
        </w:rPr>
        <w:t> </w:t>
      </w:r>
    </w:p>
    <w:p w14:paraId="764E417A" w14:textId="77777777" w:rsidR="009F2C10" w:rsidRPr="008D6AC4" w:rsidRDefault="009F2C10" w:rsidP="136F3BEB">
      <w:pPr>
        <w:pStyle w:val="paragraph"/>
        <w:spacing w:before="0" w:beforeAutospacing="0" w:after="0" w:afterAutospacing="0"/>
        <w:jc w:val="both"/>
        <w:rPr>
          <w:rFonts w:ascii="Verdana" w:hAnsi="Verdana" w:cs="Calibri"/>
          <w:sz w:val="22"/>
          <w:szCs w:val="22"/>
        </w:rPr>
      </w:pPr>
    </w:p>
    <w:p w14:paraId="3332EC6B" w14:textId="77777777" w:rsidR="009F2C10" w:rsidRPr="008D6AC4" w:rsidRDefault="422CCAFB" w:rsidP="136F3BEB">
      <w:pPr>
        <w:pStyle w:val="paragraph"/>
        <w:spacing w:before="0" w:beforeAutospacing="0" w:after="0" w:afterAutospacing="0"/>
        <w:jc w:val="both"/>
        <w:rPr>
          <w:rFonts w:ascii="Verdana" w:hAnsi="Verdana" w:cs="Calibri"/>
          <w:sz w:val="22"/>
          <w:szCs w:val="22"/>
        </w:rPr>
      </w:pPr>
      <w:r w:rsidRPr="136F3BEB">
        <w:rPr>
          <w:rFonts w:ascii="Verdana" w:hAnsi="Verdana" w:cs="Calibri"/>
          <w:sz w:val="22"/>
          <w:szCs w:val="22"/>
        </w:rPr>
        <w:t>As one of the at risk groups, and in line with the findings of this work plus national efforts to address inequity, it will be helpful for the sexual health team to connect with the women’s health hubs that are being set up through the Integrated Care Boards to optimise their design to ensure they can meet local sexual health as well as wider women’</w:t>
      </w:r>
      <w:r w:rsidR="57FFDD73" w:rsidRPr="136F3BEB">
        <w:rPr>
          <w:rFonts w:ascii="Verdana" w:hAnsi="Verdana" w:cs="Calibri"/>
          <w:sz w:val="22"/>
          <w:szCs w:val="22"/>
        </w:rPr>
        <w:t xml:space="preserve">s needs, plus they align optimally with existing services for sexual health so as to complement and enhance their efforts rather than to duplicate or destabilise this. Given the work is being </w:t>
      </w:r>
      <w:r w:rsidR="20415932" w:rsidRPr="136F3BEB">
        <w:rPr>
          <w:rFonts w:ascii="Verdana" w:hAnsi="Verdana" w:cs="Calibri"/>
          <w:sz w:val="22"/>
          <w:szCs w:val="22"/>
        </w:rPr>
        <w:t>prioritised</w:t>
      </w:r>
      <w:r w:rsidR="57FFDD73" w:rsidRPr="136F3BEB">
        <w:rPr>
          <w:rFonts w:ascii="Verdana" w:hAnsi="Verdana" w:cs="Calibri"/>
          <w:sz w:val="22"/>
          <w:szCs w:val="22"/>
        </w:rPr>
        <w:t xml:space="preserve"> nationally and locally for this</w:t>
      </w:r>
      <w:r w:rsidR="0A3EFBCC" w:rsidRPr="136F3BEB">
        <w:rPr>
          <w:rFonts w:ascii="Verdana" w:hAnsi="Verdana" w:cs="Calibri"/>
          <w:sz w:val="22"/>
          <w:szCs w:val="22"/>
        </w:rPr>
        <w:t xml:space="preserve">, it will be important to ensure due attention is given by the sexual health team to support this urgently during this design and implementation phase. </w:t>
      </w:r>
    </w:p>
    <w:p w14:paraId="43A48B87" w14:textId="77777777" w:rsidR="009F2C10" w:rsidRPr="008D6AC4" w:rsidRDefault="009F2C10" w:rsidP="136F3BEB">
      <w:pPr>
        <w:pStyle w:val="paragraph"/>
        <w:spacing w:before="0" w:beforeAutospacing="0" w:after="0" w:afterAutospacing="0"/>
        <w:jc w:val="both"/>
        <w:rPr>
          <w:rFonts w:ascii="Verdana" w:hAnsi="Verdana" w:cs="Calibri"/>
          <w:sz w:val="22"/>
          <w:szCs w:val="22"/>
        </w:rPr>
      </w:pPr>
    </w:p>
    <w:p w14:paraId="1A899EE6" w14:textId="77777777" w:rsidR="009F2C10" w:rsidRPr="008D6AC4" w:rsidRDefault="70BE7CE3" w:rsidP="136F3BEB">
      <w:pPr>
        <w:pStyle w:val="paragraph"/>
        <w:numPr>
          <w:ilvl w:val="0"/>
          <w:numId w:val="2"/>
        </w:numPr>
        <w:spacing w:before="0" w:beforeAutospacing="0" w:after="0" w:afterAutospacing="0"/>
        <w:jc w:val="both"/>
        <w:rPr>
          <w:rStyle w:val="normaltextrun"/>
          <w:rFonts w:ascii="Verdana" w:eastAsiaTheme="majorEastAsia" w:hAnsi="Verdana" w:cs="Calibri"/>
          <w:b/>
          <w:bCs/>
          <w:sz w:val="22"/>
          <w:szCs w:val="22"/>
        </w:rPr>
      </w:pPr>
      <w:r w:rsidRPr="136F3BEB">
        <w:rPr>
          <w:rStyle w:val="normaltextrun"/>
          <w:rFonts w:ascii="Verdana" w:eastAsiaTheme="majorEastAsia" w:hAnsi="Verdana" w:cs="Calibri"/>
          <w:b/>
          <w:bCs/>
          <w:sz w:val="22"/>
          <w:szCs w:val="22"/>
        </w:rPr>
        <w:t>Engage in further research opportunities to inform and influence policy to promote and prevent poor sexual health outcomes, including liaising with other public health teams in England to understand their sexual health models.</w:t>
      </w:r>
    </w:p>
    <w:p w14:paraId="2CA1A3C4" w14:textId="77777777" w:rsidR="009F2C10" w:rsidRPr="008D6AC4" w:rsidRDefault="009F2C10" w:rsidP="136F3BEB">
      <w:pPr>
        <w:pStyle w:val="paragraph"/>
        <w:spacing w:before="0" w:beforeAutospacing="0" w:after="0" w:afterAutospacing="0"/>
        <w:jc w:val="both"/>
        <w:rPr>
          <w:rStyle w:val="normaltextrun"/>
          <w:rFonts w:ascii="Verdana" w:hAnsi="Verdana" w:cs="Calibri"/>
          <w:sz w:val="22"/>
          <w:szCs w:val="22"/>
        </w:rPr>
      </w:pPr>
    </w:p>
    <w:p w14:paraId="5014513F" w14:textId="77777777" w:rsidR="009F2C10" w:rsidRPr="008D6AC4" w:rsidRDefault="0A8417CB" w:rsidP="136F3BEB">
      <w:pPr>
        <w:pStyle w:val="paragraph"/>
        <w:spacing w:before="0" w:beforeAutospacing="0" w:after="0" w:afterAutospacing="0"/>
        <w:jc w:val="both"/>
        <w:rPr>
          <w:rStyle w:val="normaltextrun"/>
          <w:rFonts w:ascii="Verdana" w:hAnsi="Verdana" w:cs="Calibri"/>
          <w:sz w:val="22"/>
          <w:szCs w:val="22"/>
        </w:rPr>
      </w:pPr>
      <w:r w:rsidRPr="136F3BEB">
        <w:rPr>
          <w:rStyle w:val="normaltextrun"/>
          <w:rFonts w:ascii="Verdana" w:hAnsi="Verdana" w:cs="Calibri"/>
          <w:sz w:val="22"/>
          <w:szCs w:val="22"/>
        </w:rPr>
        <w:t>Through this work, it has been found that whilst there is a lot of good practice locally, there is also opportunity to go further – in particular in terms of innovation, technological advancement and contributing to latest thinking. There is good work that has been id</w:t>
      </w:r>
      <w:r w:rsidR="66070866" w:rsidRPr="136F3BEB">
        <w:rPr>
          <w:rStyle w:val="normaltextrun"/>
          <w:rFonts w:ascii="Verdana" w:hAnsi="Verdana" w:cs="Calibri"/>
          <w:sz w:val="22"/>
          <w:szCs w:val="22"/>
        </w:rPr>
        <w:t xml:space="preserve">entified through this work that would warrant further sharing as it could benefit other areas also. There are some areas that require further study to understand why they are proving to be successful when other areas in Kent and more nationally are struggling. And there are some innovations that have been </w:t>
      </w:r>
      <w:r w:rsidR="68C77912" w:rsidRPr="136F3BEB">
        <w:rPr>
          <w:rStyle w:val="normaltextrun"/>
          <w:rFonts w:ascii="Verdana" w:hAnsi="Verdana" w:cs="Calibri"/>
          <w:sz w:val="22"/>
          <w:szCs w:val="22"/>
        </w:rPr>
        <w:t xml:space="preserve">implemented where the lessons from successful implementation has resulted in wider rollout of the service. It would be worth considering how these initiatives are being evaluated more formally, shared through academic publication, and shared more widely. Similarly, there has been work and areas identified that </w:t>
      </w:r>
      <w:r w:rsidR="5E24625B" w:rsidRPr="136F3BEB">
        <w:rPr>
          <w:rStyle w:val="normaltextrun"/>
          <w:rFonts w:ascii="Verdana" w:hAnsi="Verdana" w:cs="Calibri"/>
          <w:sz w:val="22"/>
          <w:szCs w:val="22"/>
        </w:rPr>
        <w:t>could be tested in Kent – for example expanding the online HIV offer similar to East Sussex, or other means also. It is worth considering early how these will be funded, piloted and evaluated in the coming 1-3 years, and stronger connec</w:t>
      </w:r>
      <w:r w:rsidR="19276937" w:rsidRPr="136F3BEB">
        <w:rPr>
          <w:rStyle w:val="normaltextrun"/>
          <w:rFonts w:ascii="Verdana" w:hAnsi="Verdana" w:cs="Calibri"/>
          <w:sz w:val="22"/>
          <w:szCs w:val="22"/>
        </w:rPr>
        <w:t xml:space="preserve">tions made with the R&amp;D team in public health to build this. It would also be useful to build the training offer within the sexual health team to provide even more opportunities for registrars, trainees and </w:t>
      </w:r>
      <w:r w:rsidR="19276937" w:rsidRPr="136F3BEB">
        <w:rPr>
          <w:rStyle w:val="normaltextrun"/>
          <w:rFonts w:ascii="Verdana" w:hAnsi="Verdana" w:cs="Calibri"/>
          <w:sz w:val="22"/>
          <w:szCs w:val="22"/>
        </w:rPr>
        <w:lastRenderedPageBreak/>
        <w:t xml:space="preserve">others to utilise the opportunities afforded by this important area to develop their own knowledge, skills and confidence in improving sexual health </w:t>
      </w:r>
      <w:r w:rsidR="4E7E0D7F" w:rsidRPr="136F3BEB">
        <w:rPr>
          <w:rStyle w:val="normaltextrun"/>
          <w:rFonts w:ascii="Verdana" w:hAnsi="Verdana" w:cs="Calibri"/>
          <w:sz w:val="22"/>
          <w:szCs w:val="22"/>
        </w:rPr>
        <w:t xml:space="preserve">outcomes </w:t>
      </w:r>
      <w:r w:rsidR="19276937" w:rsidRPr="136F3BEB">
        <w:rPr>
          <w:rStyle w:val="normaltextrun"/>
          <w:rFonts w:ascii="Verdana" w:hAnsi="Verdana" w:cs="Calibri"/>
          <w:sz w:val="22"/>
          <w:szCs w:val="22"/>
        </w:rPr>
        <w:t>and wellbeing.</w:t>
      </w:r>
      <w:r w:rsidR="4C502A11" w:rsidRPr="136F3BEB">
        <w:rPr>
          <w:rStyle w:val="normaltextrun"/>
          <w:rFonts w:ascii="Verdana" w:hAnsi="Verdana" w:cs="Calibri"/>
          <w:sz w:val="22"/>
          <w:szCs w:val="22"/>
        </w:rPr>
        <w:t xml:space="preserve"> </w:t>
      </w:r>
    </w:p>
    <w:p w14:paraId="367DBCD2" w14:textId="77777777" w:rsidR="009F2C10" w:rsidRPr="008D6AC4" w:rsidRDefault="009F2C10" w:rsidP="136F3BEB">
      <w:pPr>
        <w:pStyle w:val="paragraph"/>
        <w:spacing w:before="0" w:beforeAutospacing="0" w:after="0" w:afterAutospacing="0"/>
        <w:jc w:val="both"/>
        <w:rPr>
          <w:rStyle w:val="normaltextrun"/>
          <w:rFonts w:ascii="Verdana" w:hAnsi="Verdana" w:cs="Calibri"/>
          <w:sz w:val="22"/>
          <w:szCs w:val="22"/>
        </w:rPr>
      </w:pPr>
    </w:p>
    <w:p w14:paraId="10C1A374" w14:textId="77777777" w:rsidR="009F2C10" w:rsidRPr="008D6AC4" w:rsidRDefault="70BE7CE3" w:rsidP="136F3BEB">
      <w:pPr>
        <w:pStyle w:val="paragraph"/>
        <w:numPr>
          <w:ilvl w:val="0"/>
          <w:numId w:val="2"/>
        </w:numPr>
        <w:spacing w:before="0" w:beforeAutospacing="0" w:after="0" w:afterAutospacing="0"/>
        <w:jc w:val="both"/>
        <w:rPr>
          <w:rFonts w:ascii="Verdana" w:hAnsi="Verdana" w:cs="Calibri"/>
          <w:b/>
          <w:bCs/>
          <w:sz w:val="22"/>
          <w:szCs w:val="22"/>
        </w:rPr>
      </w:pPr>
      <w:r w:rsidRPr="136F3BEB">
        <w:rPr>
          <w:rStyle w:val="normaltextrun"/>
          <w:rFonts w:ascii="Verdana" w:eastAsiaTheme="majorEastAsia" w:hAnsi="Verdana" w:cs="Calibri"/>
          <w:b/>
          <w:bCs/>
          <w:sz w:val="22"/>
          <w:szCs w:val="22"/>
        </w:rPr>
        <w:t>Increase awareness and visibility of sexual health services in Kent through accelerated efforts in marketing and campaigns</w:t>
      </w:r>
      <w:r w:rsidRPr="136F3BEB">
        <w:rPr>
          <w:rStyle w:val="eop"/>
          <w:rFonts w:ascii="Verdana" w:hAnsi="Verdana" w:cs="Calibri"/>
          <w:b/>
          <w:bCs/>
          <w:sz w:val="22"/>
          <w:szCs w:val="22"/>
        </w:rPr>
        <w:t> </w:t>
      </w:r>
    </w:p>
    <w:p w14:paraId="6FA8407A" w14:textId="77777777" w:rsidR="009F2C10" w:rsidRPr="008D6AC4" w:rsidRDefault="009F2C10" w:rsidP="136F3BEB">
      <w:pPr>
        <w:pStyle w:val="paragraph"/>
        <w:spacing w:before="0" w:beforeAutospacing="0" w:after="0" w:afterAutospacing="0"/>
        <w:jc w:val="both"/>
        <w:rPr>
          <w:rFonts w:ascii="Verdana" w:hAnsi="Verdana" w:cs="Calibri"/>
          <w:sz w:val="22"/>
          <w:szCs w:val="22"/>
        </w:rPr>
      </w:pPr>
    </w:p>
    <w:p w14:paraId="24BE7006" w14:textId="77777777" w:rsidR="009F2C10" w:rsidRPr="008D6AC4" w:rsidRDefault="29B11F28" w:rsidP="136F3BEB">
      <w:pPr>
        <w:pStyle w:val="paragraph"/>
        <w:spacing w:before="0" w:beforeAutospacing="0" w:after="0" w:afterAutospacing="0"/>
        <w:jc w:val="both"/>
        <w:rPr>
          <w:rFonts w:ascii="Verdana" w:hAnsi="Verdana" w:cs="Calibri"/>
          <w:sz w:val="22"/>
          <w:szCs w:val="22"/>
        </w:rPr>
      </w:pPr>
      <w:r w:rsidRPr="136F3BEB">
        <w:rPr>
          <w:rFonts w:ascii="Verdana" w:hAnsi="Verdana" w:cs="Calibri"/>
          <w:sz w:val="22"/>
          <w:szCs w:val="22"/>
        </w:rPr>
        <w:t>In addition to increasing insights, it is important to raise awareness about sexual health services in Kent through a variety of means. It will be helpful to develop an annual calendar of key dates and create a proactive marketing campaign around this to raise the profile about sexual health and sexual health issu</w:t>
      </w:r>
      <w:r w:rsidR="15116290" w:rsidRPr="136F3BEB">
        <w:rPr>
          <w:rFonts w:ascii="Verdana" w:hAnsi="Verdana" w:cs="Calibri"/>
          <w:sz w:val="22"/>
          <w:szCs w:val="22"/>
        </w:rPr>
        <w:t xml:space="preserve">es locally. This should connect to the marketing efforts of providers and create a more uniform brand and service so that the public experience a more One Kent Sexual Health offer where-ever they live in Kent and however they choose to access these services. </w:t>
      </w:r>
      <w:r w:rsidR="54EB5D3F" w:rsidRPr="136F3BEB">
        <w:rPr>
          <w:rFonts w:ascii="Verdana" w:hAnsi="Verdana" w:cs="Calibri"/>
          <w:sz w:val="22"/>
          <w:szCs w:val="22"/>
        </w:rPr>
        <w:t xml:space="preserve">It will be helpful to utilise both physical and virtual methods for doing this given the blended nature of the sexual health service, and it will be helpful also for the development of culturally </w:t>
      </w:r>
      <w:r w:rsidR="025C4D04" w:rsidRPr="136F3BEB">
        <w:rPr>
          <w:rFonts w:ascii="Verdana" w:hAnsi="Verdana" w:cs="Calibri"/>
          <w:sz w:val="22"/>
          <w:szCs w:val="22"/>
        </w:rPr>
        <w:t>tailored</w:t>
      </w:r>
      <w:r w:rsidR="54EB5D3F" w:rsidRPr="136F3BEB">
        <w:rPr>
          <w:rFonts w:ascii="Verdana" w:hAnsi="Verdana" w:cs="Calibri"/>
          <w:sz w:val="22"/>
          <w:szCs w:val="22"/>
        </w:rPr>
        <w:t xml:space="preserve"> campaigns particularly </w:t>
      </w:r>
      <w:r w:rsidR="1AB05C45" w:rsidRPr="136F3BEB">
        <w:rPr>
          <w:rFonts w:ascii="Verdana" w:hAnsi="Verdana" w:cs="Calibri"/>
          <w:sz w:val="22"/>
          <w:szCs w:val="22"/>
        </w:rPr>
        <w:t>targeting</w:t>
      </w:r>
      <w:r w:rsidR="54EB5D3F" w:rsidRPr="136F3BEB">
        <w:rPr>
          <w:rFonts w:ascii="Verdana" w:hAnsi="Verdana" w:cs="Calibri"/>
          <w:sz w:val="22"/>
          <w:szCs w:val="22"/>
        </w:rPr>
        <w:t xml:space="preserve"> those identified as being in at-risk or under-served groups.</w:t>
      </w:r>
      <w:r w:rsidR="34EDC64F" w:rsidRPr="136F3BEB">
        <w:rPr>
          <w:rFonts w:ascii="Verdana" w:hAnsi="Verdana" w:cs="Calibri"/>
          <w:sz w:val="22"/>
          <w:szCs w:val="22"/>
        </w:rPr>
        <w:t xml:space="preserve"> It will be helpful to optimise the website across providers to connect across to each other for this and enable residents across Kent to more easily find help and support when they need this for optimal sexual health and wellbeing. </w:t>
      </w:r>
      <w:r w:rsidR="54EB5D3F" w:rsidRPr="136F3BEB">
        <w:rPr>
          <w:rFonts w:ascii="Verdana" w:hAnsi="Verdana" w:cs="Calibri"/>
          <w:sz w:val="22"/>
          <w:szCs w:val="22"/>
        </w:rPr>
        <w:t xml:space="preserve"> </w:t>
      </w:r>
    </w:p>
    <w:p w14:paraId="38DC58A4" w14:textId="77777777" w:rsidR="009F2C10" w:rsidRPr="008D6AC4" w:rsidRDefault="009F2C10" w:rsidP="136F3BEB">
      <w:pPr>
        <w:pStyle w:val="paragraph"/>
        <w:spacing w:before="0" w:beforeAutospacing="0" w:after="0" w:afterAutospacing="0"/>
        <w:jc w:val="both"/>
        <w:rPr>
          <w:rFonts w:ascii="Verdana" w:hAnsi="Verdana" w:cs="Calibri"/>
          <w:sz w:val="22"/>
          <w:szCs w:val="22"/>
        </w:rPr>
      </w:pPr>
    </w:p>
    <w:p w14:paraId="784169D6" w14:textId="77777777" w:rsidR="009F2C10" w:rsidRPr="008D6AC4" w:rsidRDefault="70BE7CE3" w:rsidP="136F3BEB">
      <w:pPr>
        <w:pStyle w:val="paragraph"/>
        <w:numPr>
          <w:ilvl w:val="0"/>
          <w:numId w:val="2"/>
        </w:numPr>
        <w:spacing w:before="0" w:beforeAutospacing="0" w:after="0" w:afterAutospacing="0"/>
        <w:jc w:val="both"/>
        <w:rPr>
          <w:rStyle w:val="eop"/>
          <w:rFonts w:ascii="Verdana" w:hAnsi="Verdana" w:cs="Calibri"/>
          <w:sz w:val="22"/>
          <w:szCs w:val="22"/>
        </w:rPr>
      </w:pPr>
      <w:r w:rsidRPr="136F3BEB">
        <w:rPr>
          <w:rStyle w:val="eop"/>
          <w:rFonts w:ascii="Verdana" w:hAnsi="Verdana" w:cs="Calibri"/>
          <w:b/>
          <w:bCs/>
          <w:sz w:val="22"/>
          <w:szCs w:val="22"/>
        </w:rPr>
        <w:t>Understanding the sexual health implications of violence against women and girls as a recommended priority for Kent, and working with partners to reduce sexual violence </w:t>
      </w:r>
      <w:r w:rsidR="69FAC271">
        <w:br/>
      </w:r>
    </w:p>
    <w:p w14:paraId="008623EB" w14:textId="77777777" w:rsidR="009F2C10" w:rsidRPr="008D6AC4" w:rsidRDefault="56BF2F03" w:rsidP="136F3BEB">
      <w:pPr>
        <w:pStyle w:val="paragraph"/>
        <w:spacing w:before="0" w:beforeAutospacing="0" w:after="0" w:afterAutospacing="0"/>
        <w:jc w:val="both"/>
        <w:rPr>
          <w:rStyle w:val="eop"/>
          <w:rFonts w:ascii="Verdana" w:hAnsi="Verdana" w:cs="Calibri"/>
          <w:sz w:val="22"/>
          <w:szCs w:val="22"/>
        </w:rPr>
      </w:pPr>
      <w:r w:rsidRPr="136F3BEB">
        <w:rPr>
          <w:rStyle w:val="eop"/>
          <w:rFonts w:ascii="Verdana" w:hAnsi="Verdana" w:cs="Calibri"/>
          <w:sz w:val="22"/>
          <w:szCs w:val="22"/>
        </w:rPr>
        <w:t xml:space="preserve">One </w:t>
      </w:r>
      <w:r w:rsidR="431C49FD" w:rsidRPr="136F3BEB">
        <w:rPr>
          <w:rStyle w:val="eop"/>
          <w:rFonts w:ascii="Verdana" w:hAnsi="Verdana" w:cs="Calibri"/>
          <w:sz w:val="22"/>
          <w:szCs w:val="22"/>
        </w:rPr>
        <w:t xml:space="preserve">area identified as needing more focus is the interface between sexual health and violence against women and girls locally. The sexual health team should build a stronger connection with the team looking after violence against women and girls and start to build into the </w:t>
      </w:r>
      <w:r w:rsidR="7B7F3C2F" w:rsidRPr="136F3BEB">
        <w:rPr>
          <w:rStyle w:val="eop"/>
          <w:rFonts w:ascii="Verdana" w:hAnsi="Verdana" w:cs="Calibri"/>
          <w:sz w:val="22"/>
          <w:szCs w:val="22"/>
        </w:rPr>
        <w:t>sexual</w:t>
      </w:r>
      <w:r w:rsidR="431C49FD" w:rsidRPr="136F3BEB">
        <w:rPr>
          <w:rStyle w:val="eop"/>
          <w:rFonts w:ascii="Verdana" w:hAnsi="Verdana" w:cs="Calibri"/>
          <w:sz w:val="22"/>
          <w:szCs w:val="22"/>
        </w:rPr>
        <w:t xml:space="preserve"> health services great</w:t>
      </w:r>
      <w:r w:rsidR="5F7624D9" w:rsidRPr="136F3BEB">
        <w:rPr>
          <w:rStyle w:val="eop"/>
          <w:rFonts w:ascii="Verdana" w:hAnsi="Verdana" w:cs="Calibri"/>
          <w:sz w:val="22"/>
          <w:szCs w:val="22"/>
        </w:rPr>
        <w:t xml:space="preserve">er ability to prevent, detect and </w:t>
      </w:r>
      <w:r w:rsidR="263EA3D3" w:rsidRPr="136F3BEB">
        <w:rPr>
          <w:rStyle w:val="eop"/>
          <w:rFonts w:ascii="Verdana" w:hAnsi="Verdana" w:cs="Calibri"/>
          <w:sz w:val="22"/>
          <w:szCs w:val="22"/>
        </w:rPr>
        <w:t>provide support for local residents who are at risk of or who do experience this. One example of work that can be done easily is for the sexual health team to identify key training videos and materials and to share these with their sexual health providers and partners to raise awareness about what they should look out for, and include representation at the co</w:t>
      </w:r>
      <w:r w:rsidR="0C09AD44" w:rsidRPr="136F3BEB">
        <w:rPr>
          <w:rStyle w:val="eop"/>
          <w:rFonts w:ascii="Verdana" w:hAnsi="Verdana" w:cs="Calibri"/>
          <w:sz w:val="22"/>
          <w:szCs w:val="22"/>
        </w:rPr>
        <w:t xml:space="preserve">llaborative by members from the violence against women and girls team member attending some sessions or presenting key information as it becomes available. </w:t>
      </w:r>
    </w:p>
    <w:p w14:paraId="351C9483" w14:textId="77777777" w:rsidR="009F2C10" w:rsidRPr="008D6AC4" w:rsidRDefault="009F2C10" w:rsidP="136F3BEB">
      <w:pPr>
        <w:pStyle w:val="paragraph"/>
        <w:spacing w:before="0" w:beforeAutospacing="0" w:after="0" w:afterAutospacing="0"/>
        <w:ind w:left="1080"/>
        <w:jc w:val="both"/>
        <w:rPr>
          <w:rFonts w:ascii="Verdana" w:hAnsi="Verdana" w:cs="Calibri"/>
          <w:sz w:val="22"/>
          <w:szCs w:val="22"/>
        </w:rPr>
      </w:pPr>
    </w:p>
    <w:p w14:paraId="247A2A87" w14:textId="77777777" w:rsidR="009F2C10" w:rsidRPr="008D6AC4" w:rsidRDefault="70BE7CE3" w:rsidP="136F3BEB">
      <w:pPr>
        <w:pStyle w:val="Heading2"/>
        <w:numPr>
          <w:ilvl w:val="0"/>
          <w:numId w:val="0"/>
        </w:numPr>
        <w:spacing w:after="0"/>
        <w:jc w:val="both"/>
        <w:rPr>
          <w:rFonts w:ascii="Verdana" w:hAnsi="Verdana"/>
          <w:sz w:val="22"/>
          <w:szCs w:val="22"/>
        </w:rPr>
      </w:pPr>
      <w:bookmarkStart w:id="87" w:name="_Toc1299748856"/>
      <w:r w:rsidRPr="136F3BEB">
        <w:rPr>
          <w:rFonts w:ascii="Verdana" w:hAnsi="Verdana"/>
          <w:sz w:val="22"/>
          <w:szCs w:val="22"/>
        </w:rPr>
        <w:t>1</w:t>
      </w:r>
      <w:r w:rsidR="34CDC78E" w:rsidRPr="136F3BEB">
        <w:rPr>
          <w:rFonts w:ascii="Verdana" w:hAnsi="Verdana"/>
          <w:sz w:val="22"/>
          <w:szCs w:val="22"/>
        </w:rPr>
        <w:t>1</w:t>
      </w:r>
      <w:r w:rsidRPr="136F3BEB">
        <w:rPr>
          <w:rFonts w:ascii="Verdana" w:hAnsi="Verdana"/>
          <w:sz w:val="22"/>
          <w:szCs w:val="22"/>
        </w:rPr>
        <w:t xml:space="preserve">.2 Key recommendations for the sexual health </w:t>
      </w:r>
      <w:r w:rsidR="72161DC5" w:rsidRPr="136F3BEB">
        <w:rPr>
          <w:rFonts w:ascii="Verdana" w:hAnsi="Verdana"/>
          <w:sz w:val="22"/>
          <w:szCs w:val="22"/>
        </w:rPr>
        <w:t>commissioning</w:t>
      </w:r>
      <w:bookmarkEnd w:id="87"/>
      <w:r w:rsidR="72161DC5" w:rsidRPr="136F3BEB">
        <w:rPr>
          <w:rFonts w:ascii="Verdana" w:hAnsi="Verdana"/>
          <w:sz w:val="22"/>
          <w:szCs w:val="22"/>
        </w:rPr>
        <w:t xml:space="preserve"> </w:t>
      </w:r>
    </w:p>
    <w:p w14:paraId="7DBE4036" w14:textId="6FE61935" w:rsidR="009F2C10" w:rsidRPr="008D6AC4" w:rsidRDefault="72161DC5" w:rsidP="136F3BEB">
      <w:pPr>
        <w:rPr>
          <w:rFonts w:ascii="Verdana" w:hAnsi="Verdana"/>
          <w:sz w:val="22"/>
          <w:szCs w:val="22"/>
        </w:rPr>
      </w:pPr>
      <w:r w:rsidRPr="136F3BEB">
        <w:rPr>
          <w:rFonts w:ascii="Verdana" w:hAnsi="Verdana"/>
          <w:sz w:val="22"/>
          <w:szCs w:val="22"/>
        </w:rPr>
        <w:t xml:space="preserve">As well as the general recommendations outlined above, there is a series of recommendations that specifically relate to the commissioning requirements that will be needed to </w:t>
      </w:r>
      <w:r w:rsidR="00F42E4B" w:rsidRPr="136F3BEB">
        <w:rPr>
          <w:rFonts w:ascii="Verdana" w:hAnsi="Verdana"/>
          <w:sz w:val="22"/>
          <w:szCs w:val="22"/>
        </w:rPr>
        <w:t>support</w:t>
      </w:r>
      <w:r w:rsidRPr="136F3BEB">
        <w:rPr>
          <w:rFonts w:ascii="Verdana" w:hAnsi="Verdana"/>
          <w:sz w:val="22"/>
          <w:szCs w:val="22"/>
        </w:rPr>
        <w:t xml:space="preserve"> the work and changes outlined. These are recommendations that are made for public health com</w:t>
      </w:r>
      <w:r w:rsidR="58579F36" w:rsidRPr="136F3BEB">
        <w:rPr>
          <w:rFonts w:ascii="Verdana" w:hAnsi="Verdana"/>
          <w:sz w:val="22"/>
          <w:szCs w:val="22"/>
        </w:rPr>
        <w:t xml:space="preserve">missioners and consultants leading on the review of existing services to ensure they are optimally fit for purpose. These recommendations are as follows: </w:t>
      </w:r>
    </w:p>
    <w:p w14:paraId="06B264E6" w14:textId="77777777" w:rsidR="009F2C10" w:rsidRPr="008D6AC4" w:rsidRDefault="009F2C10" w:rsidP="136F3BEB">
      <w:pPr>
        <w:pStyle w:val="paragraph"/>
        <w:spacing w:before="0" w:beforeAutospacing="0" w:after="0" w:afterAutospacing="0"/>
        <w:ind w:left="1080"/>
        <w:jc w:val="both"/>
        <w:rPr>
          <w:rFonts w:ascii="Verdana" w:hAnsi="Verdana" w:cs="Calibri"/>
          <w:sz w:val="22"/>
          <w:szCs w:val="22"/>
        </w:rPr>
      </w:pPr>
    </w:p>
    <w:p w14:paraId="04D57E6F" w14:textId="77777777" w:rsidR="009F2C10" w:rsidRPr="008D6AC4" w:rsidRDefault="58579F36" w:rsidP="136F3BEB">
      <w:pPr>
        <w:pStyle w:val="paragraph"/>
        <w:numPr>
          <w:ilvl w:val="0"/>
          <w:numId w:val="1"/>
        </w:numPr>
        <w:spacing w:before="0" w:beforeAutospacing="0" w:after="0" w:afterAutospacing="0"/>
        <w:jc w:val="both"/>
        <w:rPr>
          <w:rFonts w:ascii="Verdana" w:hAnsi="Verdana" w:cs="Calibri"/>
          <w:sz w:val="22"/>
          <w:szCs w:val="22"/>
        </w:rPr>
      </w:pPr>
      <w:r w:rsidRPr="136F3BEB">
        <w:rPr>
          <w:rFonts w:ascii="Verdana" w:hAnsi="Verdana" w:cs="Calibri"/>
          <w:color w:val="000000" w:themeColor="text1"/>
          <w:sz w:val="22"/>
          <w:szCs w:val="22"/>
        </w:rPr>
        <w:t>C</w:t>
      </w:r>
      <w:r w:rsidR="70BE7CE3" w:rsidRPr="136F3BEB">
        <w:rPr>
          <w:rFonts w:ascii="Verdana" w:hAnsi="Verdana" w:cs="Calibri"/>
          <w:color w:val="000000" w:themeColor="text1"/>
          <w:sz w:val="22"/>
          <w:szCs w:val="22"/>
        </w:rPr>
        <w:t xml:space="preserve">ontinue to understand if trends in sexual health indicators are returning to pre-pandemic levels, we recommend an annual update to the relevant sections of this needs assessment with the release of the latest Fingertips </w:t>
      </w:r>
      <w:r w:rsidR="70BE7CE3" w:rsidRPr="136F3BEB">
        <w:rPr>
          <w:rFonts w:ascii="Verdana" w:hAnsi="Verdana" w:cs="Calibri"/>
          <w:color w:val="000000" w:themeColor="text1"/>
          <w:sz w:val="22"/>
          <w:szCs w:val="22"/>
        </w:rPr>
        <w:lastRenderedPageBreak/>
        <w:t>data. </w:t>
      </w:r>
      <w:r w:rsidR="4EB1E166" w:rsidRPr="136F3BEB">
        <w:rPr>
          <w:rFonts w:ascii="Verdana" w:hAnsi="Verdana" w:cs="Calibri"/>
          <w:color w:val="000000" w:themeColor="text1"/>
          <w:sz w:val="22"/>
          <w:szCs w:val="22"/>
        </w:rPr>
        <w:t xml:space="preserve">Particular focus is needed for including metrics about those in under-served and at-risk </w:t>
      </w:r>
      <w:r w:rsidR="39D99F24" w:rsidRPr="136F3BEB">
        <w:rPr>
          <w:rFonts w:ascii="Verdana" w:hAnsi="Verdana" w:cs="Calibri"/>
          <w:color w:val="000000" w:themeColor="text1"/>
          <w:sz w:val="22"/>
          <w:szCs w:val="22"/>
        </w:rPr>
        <w:t>groups and</w:t>
      </w:r>
      <w:r w:rsidR="4EB1E166" w:rsidRPr="136F3BEB">
        <w:rPr>
          <w:rFonts w:ascii="Verdana" w:hAnsi="Verdana" w:cs="Calibri"/>
          <w:color w:val="000000" w:themeColor="text1"/>
          <w:sz w:val="22"/>
          <w:szCs w:val="22"/>
        </w:rPr>
        <w:t xml:space="preserve"> focus on outcomes as well as activity. </w:t>
      </w:r>
      <w:r w:rsidR="69FAC271">
        <w:br/>
      </w:r>
    </w:p>
    <w:p w14:paraId="0D60289E" w14:textId="77777777" w:rsidR="009F2C10" w:rsidRPr="008D6AC4" w:rsidRDefault="70BE7CE3" w:rsidP="136F3BEB">
      <w:pPr>
        <w:pStyle w:val="paragraph"/>
        <w:numPr>
          <w:ilvl w:val="0"/>
          <w:numId w:val="1"/>
        </w:numPr>
        <w:spacing w:before="0" w:beforeAutospacing="0" w:after="0" w:afterAutospacing="0"/>
        <w:jc w:val="both"/>
        <w:rPr>
          <w:rFonts w:ascii="Verdana" w:hAnsi="Verdana" w:cs="Calibri"/>
          <w:sz w:val="22"/>
          <w:szCs w:val="22"/>
        </w:rPr>
      </w:pPr>
      <w:r w:rsidRPr="136F3BEB">
        <w:rPr>
          <w:rFonts w:ascii="Verdana" w:hAnsi="Verdana" w:cs="Calibri"/>
          <w:color w:val="000000" w:themeColor="text1"/>
          <w:sz w:val="22"/>
          <w:szCs w:val="22"/>
        </w:rPr>
        <w:t>To increase insights from residents, users and non-users of services, and those who have sexual health needs in Kent. </w:t>
      </w:r>
      <w:r w:rsidR="69754622" w:rsidRPr="136F3BEB">
        <w:rPr>
          <w:rFonts w:ascii="Verdana" w:hAnsi="Verdana" w:cs="Calibri"/>
          <w:color w:val="000000" w:themeColor="text1"/>
          <w:sz w:val="22"/>
          <w:szCs w:val="22"/>
        </w:rPr>
        <w:t xml:space="preserve"> We recommend reviewing the sexual health budget and ensuring the provision of some funds to secure dedicated support for this in the next year at least. </w:t>
      </w:r>
      <w:r w:rsidR="26A81115" w:rsidRPr="136F3BEB">
        <w:rPr>
          <w:rFonts w:ascii="Verdana" w:hAnsi="Verdana" w:cs="Calibri"/>
          <w:color w:val="000000" w:themeColor="text1"/>
          <w:sz w:val="22"/>
          <w:szCs w:val="22"/>
        </w:rPr>
        <w:t>Additionally,</w:t>
      </w:r>
      <w:r w:rsidR="69754622" w:rsidRPr="136F3BEB">
        <w:rPr>
          <w:rFonts w:ascii="Verdana" w:hAnsi="Verdana" w:cs="Calibri"/>
          <w:color w:val="000000" w:themeColor="text1"/>
          <w:sz w:val="22"/>
          <w:szCs w:val="22"/>
        </w:rPr>
        <w:t xml:space="preserve"> all contracts should be reviewed and enhanced requirements clarified for ensuring data</w:t>
      </w:r>
      <w:r w:rsidR="25927D0C" w:rsidRPr="136F3BEB">
        <w:rPr>
          <w:rFonts w:ascii="Verdana" w:hAnsi="Verdana" w:cs="Calibri"/>
          <w:color w:val="000000" w:themeColor="text1"/>
          <w:sz w:val="22"/>
          <w:szCs w:val="22"/>
        </w:rPr>
        <w:t xml:space="preserve"> about insights and quality of experience as well as activity and impact on outcomes overall. </w:t>
      </w:r>
      <w:r w:rsidR="69FAC271">
        <w:br/>
      </w:r>
    </w:p>
    <w:p w14:paraId="3D02E308" w14:textId="77777777" w:rsidR="009F2C10" w:rsidRPr="008D6AC4" w:rsidRDefault="70BE7CE3" w:rsidP="136F3BEB">
      <w:pPr>
        <w:pStyle w:val="paragraph"/>
        <w:numPr>
          <w:ilvl w:val="0"/>
          <w:numId w:val="1"/>
        </w:numPr>
        <w:spacing w:before="0" w:beforeAutospacing="0" w:after="0" w:afterAutospacing="0"/>
        <w:jc w:val="both"/>
        <w:rPr>
          <w:rFonts w:ascii="Verdana" w:hAnsi="Verdana" w:cs="Calibri"/>
          <w:sz w:val="22"/>
          <w:szCs w:val="22"/>
        </w:rPr>
      </w:pPr>
      <w:r w:rsidRPr="136F3BEB">
        <w:rPr>
          <w:rFonts w:ascii="Verdana" w:eastAsia="Verdana" w:hAnsi="Verdana" w:cs="Verdana"/>
          <w:color w:val="000000" w:themeColor="text1"/>
          <w:sz w:val="22"/>
          <w:szCs w:val="22"/>
        </w:rPr>
        <w:t>Ask for greater engagement with local residents to ensure services are maximally meeting their needs and co-designed where possible for this.</w:t>
      </w:r>
      <w:r w:rsidR="121C7726" w:rsidRPr="136F3BEB">
        <w:rPr>
          <w:rFonts w:ascii="Verdana" w:eastAsia="Verdana" w:hAnsi="Verdana" w:cs="Verdana"/>
          <w:color w:val="000000" w:themeColor="text1"/>
          <w:sz w:val="22"/>
          <w:szCs w:val="22"/>
        </w:rPr>
        <w:t xml:space="preserve"> A plan should be developed, and delivery against this monitored to ensure sufficient level of engagement particularly with at-risk and under-served groups. </w:t>
      </w:r>
      <w:r w:rsidR="69FAC271">
        <w:br/>
      </w:r>
    </w:p>
    <w:p w14:paraId="32CC7523" w14:textId="77777777" w:rsidR="009F2C10" w:rsidRPr="008D6AC4" w:rsidRDefault="70BE7CE3" w:rsidP="136F3BEB">
      <w:pPr>
        <w:pStyle w:val="paragraph"/>
        <w:numPr>
          <w:ilvl w:val="0"/>
          <w:numId w:val="1"/>
        </w:numPr>
        <w:spacing w:before="0" w:beforeAutospacing="0" w:after="0" w:afterAutospacing="0"/>
        <w:jc w:val="both"/>
        <w:rPr>
          <w:rStyle w:val="eop"/>
          <w:rFonts w:ascii="Verdana" w:hAnsi="Verdana" w:cs="Calibri"/>
          <w:sz w:val="22"/>
          <w:szCs w:val="22"/>
        </w:rPr>
      </w:pPr>
      <w:r w:rsidRPr="136F3BEB">
        <w:rPr>
          <w:rStyle w:val="eop"/>
          <w:rFonts w:ascii="Verdana" w:hAnsi="Verdana" w:cs="Calibri"/>
          <w:sz w:val="22"/>
          <w:szCs w:val="22"/>
        </w:rPr>
        <w:t>Building plans for how services can use existing resources to focus their efforts on tackling health inequalities.</w:t>
      </w:r>
      <w:r w:rsidRPr="136F3BEB">
        <w:rPr>
          <w:rStyle w:val="normaltextrun"/>
          <w:rFonts w:ascii="Verdana" w:eastAsiaTheme="majorEastAsia" w:hAnsi="Verdana" w:cs="Calibri"/>
          <w:sz w:val="22"/>
          <w:szCs w:val="22"/>
        </w:rPr>
        <w:t xml:space="preserve"> </w:t>
      </w:r>
      <w:r w:rsidR="1C12F932" w:rsidRPr="136F3BEB">
        <w:rPr>
          <w:rStyle w:val="normaltextrun"/>
          <w:rFonts w:ascii="Verdana" w:eastAsiaTheme="majorEastAsia" w:hAnsi="Verdana" w:cs="Calibri"/>
          <w:sz w:val="22"/>
          <w:szCs w:val="22"/>
        </w:rPr>
        <w:t>Work is needed with each provider to ask them to curate 1-3 year plans for addressing health inequalities in sexual health service access, experience and outcomes.</w:t>
      </w:r>
      <w:r w:rsidR="600492B8" w:rsidRPr="136F3BEB">
        <w:rPr>
          <w:rStyle w:val="normaltextrun"/>
          <w:rFonts w:ascii="Verdana" w:eastAsiaTheme="majorEastAsia" w:hAnsi="Verdana" w:cs="Calibri"/>
          <w:sz w:val="22"/>
          <w:szCs w:val="22"/>
        </w:rPr>
        <w:t xml:space="preserve"> This should be part of the contract for each provider and conversations should commence by commissioners and public health consultants / specialists jointly to help them to develop plans that will be included within the delivery requirements of </w:t>
      </w:r>
      <w:r w:rsidR="545EF73A" w:rsidRPr="136F3BEB">
        <w:rPr>
          <w:rStyle w:val="normaltextrun"/>
          <w:rFonts w:ascii="Verdana" w:eastAsiaTheme="majorEastAsia" w:hAnsi="Verdana" w:cs="Calibri"/>
          <w:sz w:val="22"/>
          <w:szCs w:val="22"/>
        </w:rPr>
        <w:t xml:space="preserve">their contracts given this is a key part of service delivery that has had relative under-focus in recent years and needs attention. </w:t>
      </w:r>
      <w:r w:rsidR="69FAC271">
        <w:br/>
      </w:r>
    </w:p>
    <w:p w14:paraId="68B68146" w14:textId="77777777" w:rsidR="009F2C10" w:rsidRPr="008D6AC4" w:rsidRDefault="70BE7CE3" w:rsidP="136F3BEB">
      <w:pPr>
        <w:pStyle w:val="paragraph"/>
        <w:numPr>
          <w:ilvl w:val="0"/>
          <w:numId w:val="1"/>
        </w:numPr>
        <w:spacing w:before="0" w:beforeAutospacing="0" w:after="0" w:afterAutospacing="0"/>
        <w:jc w:val="both"/>
        <w:rPr>
          <w:rFonts w:ascii="Verdana" w:hAnsi="Verdana" w:cs="Calibri"/>
          <w:sz w:val="22"/>
          <w:szCs w:val="22"/>
        </w:rPr>
      </w:pPr>
      <w:r w:rsidRPr="136F3BEB">
        <w:rPr>
          <w:rStyle w:val="normaltextrun"/>
          <w:rFonts w:ascii="Verdana" w:eastAsiaTheme="majorEastAsia" w:hAnsi="Verdana" w:cs="Calibri"/>
          <w:sz w:val="22"/>
          <w:szCs w:val="22"/>
        </w:rPr>
        <w:t xml:space="preserve">Services align themselves to support geographical areas furthest away from clinics with outreach provision to improve outcomes for young people's sexual health. </w:t>
      </w:r>
      <w:r w:rsidR="0AEF9AB0" w:rsidRPr="136F3BEB">
        <w:rPr>
          <w:rStyle w:val="normaltextrun"/>
          <w:rFonts w:ascii="Verdana" w:eastAsiaTheme="majorEastAsia" w:hAnsi="Verdana" w:cs="Calibri"/>
          <w:sz w:val="22"/>
          <w:szCs w:val="22"/>
        </w:rPr>
        <w:t xml:space="preserve">Public health teams have begun to map the </w:t>
      </w:r>
      <w:r w:rsidR="46F6C008" w:rsidRPr="136F3BEB">
        <w:rPr>
          <w:rStyle w:val="normaltextrun"/>
          <w:rFonts w:ascii="Verdana" w:eastAsiaTheme="majorEastAsia" w:hAnsi="Verdana" w:cs="Calibri"/>
          <w:sz w:val="22"/>
          <w:szCs w:val="22"/>
        </w:rPr>
        <w:t>accessibility</w:t>
      </w:r>
      <w:r w:rsidR="0AEF9AB0" w:rsidRPr="136F3BEB">
        <w:rPr>
          <w:rStyle w:val="normaltextrun"/>
          <w:rFonts w:ascii="Verdana" w:eastAsiaTheme="majorEastAsia" w:hAnsi="Verdana" w:cs="Calibri"/>
          <w:sz w:val="22"/>
          <w:szCs w:val="22"/>
        </w:rPr>
        <w:t xml:space="preserve"> of services and proximity to those most in need of access to sexual health services across Kent. Providers should work with public health team and commissioners to optimise their delivery models to ensure maximum reach – whether that is by outreach or in the plan of clinics or in the design of ser</w:t>
      </w:r>
      <w:r w:rsidR="36F0C116" w:rsidRPr="136F3BEB">
        <w:rPr>
          <w:rStyle w:val="normaltextrun"/>
          <w:rFonts w:ascii="Verdana" w:eastAsiaTheme="majorEastAsia" w:hAnsi="Verdana" w:cs="Calibri"/>
          <w:sz w:val="22"/>
          <w:szCs w:val="22"/>
        </w:rPr>
        <w:t xml:space="preserve">vice provision or changes. </w:t>
      </w:r>
      <w:r w:rsidR="69FAC271">
        <w:br/>
      </w:r>
    </w:p>
    <w:p w14:paraId="3C8A5829" w14:textId="77777777" w:rsidR="009F2C10" w:rsidRPr="008D6AC4" w:rsidRDefault="70BE7CE3" w:rsidP="136F3BEB">
      <w:pPr>
        <w:pStyle w:val="paragraph"/>
        <w:numPr>
          <w:ilvl w:val="0"/>
          <w:numId w:val="1"/>
        </w:numPr>
        <w:spacing w:before="0" w:beforeAutospacing="0" w:after="0" w:afterAutospacing="0"/>
        <w:jc w:val="both"/>
        <w:rPr>
          <w:rStyle w:val="normaltextrun"/>
          <w:rFonts w:ascii="Verdana" w:hAnsi="Verdana" w:cs="Calibri"/>
          <w:sz w:val="22"/>
          <w:szCs w:val="22"/>
        </w:rPr>
      </w:pPr>
      <w:r w:rsidRPr="136F3BEB">
        <w:rPr>
          <w:rStyle w:val="normaltextrun"/>
          <w:rFonts w:ascii="Verdana" w:eastAsiaTheme="majorEastAsia" w:hAnsi="Verdana" w:cs="Calibri"/>
          <w:sz w:val="22"/>
          <w:szCs w:val="22"/>
        </w:rPr>
        <w:t>Reinstate the Outreach Provider group in Kent to allow for coordination of the best use of outreach between services. This will enable understanding of</w:t>
      </w:r>
      <w:r w:rsidRPr="136F3BEB">
        <w:rPr>
          <w:rStyle w:val="normaltextrun"/>
          <w:rFonts w:ascii="Verdana" w:eastAsiaTheme="majorEastAsia" w:hAnsi="Verdana" w:cs="Calibri"/>
          <w:color w:val="000000" w:themeColor="text1"/>
          <w:sz w:val="22"/>
          <w:szCs w:val="22"/>
        </w:rPr>
        <w:t xml:space="preserve"> which key groups (e.g. Gypsy, Roma, Traveller communities and the homeless population) are supported or should be supported, and how to measure and improve sexual health outcomes</w:t>
      </w:r>
      <w:r w:rsidRPr="136F3BEB">
        <w:rPr>
          <w:rStyle w:val="normaltextrun"/>
          <w:rFonts w:ascii="Verdana" w:eastAsiaTheme="majorEastAsia" w:hAnsi="Verdana" w:cs="Calibri"/>
          <w:sz w:val="22"/>
          <w:szCs w:val="22"/>
        </w:rPr>
        <w:t xml:space="preserve"> for these groups.</w:t>
      </w:r>
      <w:r w:rsidR="3D048270" w:rsidRPr="136F3BEB">
        <w:rPr>
          <w:rStyle w:val="normaltextrun"/>
          <w:rFonts w:ascii="Verdana" w:eastAsiaTheme="majorEastAsia" w:hAnsi="Verdana" w:cs="Calibri"/>
          <w:sz w:val="22"/>
          <w:szCs w:val="22"/>
        </w:rPr>
        <w:t xml:space="preserve"> Public health teams should commence work to secure the ongoing stability of this group by commencing discussions about structure of the group, terms of reference, reporting arrangements, strategy and action plan development, and </w:t>
      </w:r>
      <w:r w:rsidR="38EA5973" w:rsidRPr="136F3BEB">
        <w:rPr>
          <w:rStyle w:val="normaltextrun"/>
          <w:rFonts w:ascii="Verdana" w:eastAsiaTheme="majorEastAsia" w:hAnsi="Verdana" w:cs="Calibri"/>
          <w:sz w:val="22"/>
          <w:szCs w:val="22"/>
        </w:rPr>
        <w:t>oversight</w:t>
      </w:r>
      <w:r w:rsidR="3D048270" w:rsidRPr="136F3BEB">
        <w:rPr>
          <w:rStyle w:val="normaltextrun"/>
          <w:rFonts w:ascii="Verdana" w:eastAsiaTheme="majorEastAsia" w:hAnsi="Verdana" w:cs="Calibri"/>
          <w:sz w:val="22"/>
          <w:szCs w:val="22"/>
        </w:rPr>
        <w:t xml:space="preserve"> arrangeme</w:t>
      </w:r>
      <w:r w:rsidR="6D39F7D7" w:rsidRPr="136F3BEB">
        <w:rPr>
          <w:rStyle w:val="normaltextrun"/>
          <w:rFonts w:ascii="Verdana" w:eastAsiaTheme="majorEastAsia" w:hAnsi="Verdana" w:cs="Calibri"/>
          <w:sz w:val="22"/>
          <w:szCs w:val="22"/>
        </w:rPr>
        <w:t xml:space="preserve">nts for ongoing working. This will prove to be a valuable resource and it is worth commencing these efforts early. </w:t>
      </w:r>
      <w:r w:rsidR="2E8D8F3B" w:rsidRPr="136F3BEB">
        <w:rPr>
          <w:rStyle w:val="normaltextrun"/>
          <w:rFonts w:ascii="Verdana" w:eastAsiaTheme="majorEastAsia" w:hAnsi="Verdana" w:cs="Calibri"/>
          <w:sz w:val="22"/>
          <w:szCs w:val="22"/>
        </w:rPr>
        <w:t>However,</w:t>
      </w:r>
      <w:r w:rsidR="6D39F7D7" w:rsidRPr="136F3BEB">
        <w:rPr>
          <w:rStyle w:val="normaltextrun"/>
          <w:rFonts w:ascii="Verdana" w:eastAsiaTheme="majorEastAsia" w:hAnsi="Verdana" w:cs="Calibri"/>
          <w:sz w:val="22"/>
          <w:szCs w:val="22"/>
        </w:rPr>
        <w:t xml:space="preserve"> the development of a strategy with action plan will help to ensure not only progress, but also due prioritisation and su</w:t>
      </w:r>
      <w:r w:rsidR="1251C9FC" w:rsidRPr="136F3BEB">
        <w:rPr>
          <w:rStyle w:val="normaltextrun"/>
          <w:rFonts w:ascii="Verdana" w:eastAsiaTheme="majorEastAsia" w:hAnsi="Verdana" w:cs="Calibri"/>
          <w:sz w:val="22"/>
          <w:szCs w:val="22"/>
        </w:rPr>
        <w:t>s</w:t>
      </w:r>
      <w:r w:rsidR="6D39F7D7" w:rsidRPr="136F3BEB">
        <w:rPr>
          <w:rStyle w:val="normaltextrun"/>
          <w:rFonts w:ascii="Verdana" w:eastAsiaTheme="majorEastAsia" w:hAnsi="Verdana" w:cs="Calibri"/>
          <w:sz w:val="22"/>
          <w:szCs w:val="22"/>
        </w:rPr>
        <w:t xml:space="preserve">tained focus. </w:t>
      </w:r>
      <w:r w:rsidR="69FAC271">
        <w:br/>
      </w:r>
    </w:p>
    <w:p w14:paraId="2264EECB" w14:textId="77777777" w:rsidR="009F2C10" w:rsidRPr="008D6AC4" w:rsidRDefault="715E18A3" w:rsidP="136F3BEB">
      <w:pPr>
        <w:pStyle w:val="paragraph"/>
        <w:numPr>
          <w:ilvl w:val="0"/>
          <w:numId w:val="1"/>
        </w:numPr>
        <w:spacing w:before="0" w:beforeAutospacing="0" w:after="0" w:afterAutospacing="0"/>
        <w:jc w:val="both"/>
        <w:rPr>
          <w:rStyle w:val="eop"/>
          <w:rFonts w:ascii="Verdana" w:hAnsi="Verdana" w:cs="Calibri"/>
          <w:color w:val="000000" w:themeColor="text1"/>
          <w:sz w:val="22"/>
          <w:szCs w:val="22"/>
        </w:rPr>
      </w:pPr>
      <w:r w:rsidRPr="136F3BEB">
        <w:rPr>
          <w:rStyle w:val="normaltextrun"/>
          <w:rFonts w:ascii="Verdana" w:eastAsiaTheme="majorEastAsia" w:hAnsi="Verdana" w:cs="Calibri"/>
          <w:color w:val="000000" w:themeColor="text1"/>
          <w:sz w:val="22"/>
          <w:szCs w:val="22"/>
        </w:rPr>
        <w:t>E</w:t>
      </w:r>
      <w:r w:rsidR="70BE7CE3" w:rsidRPr="136F3BEB">
        <w:rPr>
          <w:rStyle w:val="normaltextrun"/>
          <w:rFonts w:ascii="Verdana" w:eastAsiaTheme="majorEastAsia" w:hAnsi="Verdana" w:cs="Calibri"/>
          <w:color w:val="000000" w:themeColor="text1"/>
          <w:sz w:val="22"/>
          <w:szCs w:val="22"/>
        </w:rPr>
        <w:t xml:space="preserve">xplore opportunities to work with system-wide partners, such as women’s health hubs, abortion care, mental health and drug and alcohol </w:t>
      </w:r>
      <w:r w:rsidR="70BE7CE3" w:rsidRPr="136F3BEB">
        <w:rPr>
          <w:rStyle w:val="normaltextrun"/>
          <w:rFonts w:ascii="Verdana" w:eastAsiaTheme="majorEastAsia" w:hAnsi="Verdana" w:cs="Calibri"/>
          <w:color w:val="000000" w:themeColor="text1"/>
          <w:sz w:val="22"/>
          <w:szCs w:val="22"/>
        </w:rPr>
        <w:lastRenderedPageBreak/>
        <w:t>services to provide a holistic offer of services, tailored to individual’s needs.</w:t>
      </w:r>
      <w:r w:rsidR="70BE7CE3" w:rsidRPr="136F3BEB">
        <w:rPr>
          <w:rStyle w:val="eop"/>
          <w:rFonts w:ascii="Verdana" w:hAnsi="Verdana" w:cs="Calibri"/>
          <w:color w:val="000000" w:themeColor="text1"/>
          <w:sz w:val="22"/>
          <w:szCs w:val="22"/>
        </w:rPr>
        <w:t xml:space="preserve"> Including exploring options of co-location across the sexual health estate. </w:t>
      </w:r>
      <w:r w:rsidR="1F513BCC" w:rsidRPr="136F3BEB">
        <w:rPr>
          <w:rStyle w:val="eop"/>
          <w:rFonts w:ascii="Verdana" w:hAnsi="Verdana" w:cs="Calibri"/>
          <w:color w:val="000000" w:themeColor="text1"/>
          <w:sz w:val="22"/>
          <w:szCs w:val="22"/>
        </w:rPr>
        <w:t xml:space="preserve">Explore the opportunity to jointly bid for funding and innovation opportunities to expand the work and its ability to meet local needs. </w:t>
      </w:r>
      <w:r w:rsidR="69FAC271">
        <w:br/>
      </w:r>
    </w:p>
    <w:p w14:paraId="1529A9AE" w14:textId="77777777" w:rsidR="009F2C10" w:rsidRPr="008D6AC4" w:rsidRDefault="70BE7CE3" w:rsidP="136F3BEB">
      <w:pPr>
        <w:pStyle w:val="paragraph"/>
        <w:numPr>
          <w:ilvl w:val="0"/>
          <w:numId w:val="1"/>
        </w:numPr>
        <w:spacing w:before="0" w:beforeAutospacing="0" w:after="0" w:afterAutospacing="0"/>
        <w:jc w:val="both"/>
        <w:rPr>
          <w:rFonts w:ascii="Verdana" w:hAnsi="Verdana" w:cs="Calibri"/>
          <w:sz w:val="22"/>
          <w:szCs w:val="22"/>
        </w:rPr>
      </w:pPr>
      <w:r w:rsidRPr="136F3BEB">
        <w:rPr>
          <w:rFonts w:ascii="Verdana" w:hAnsi="Verdana" w:cs="Calibri"/>
          <w:sz w:val="22"/>
          <w:szCs w:val="22"/>
        </w:rPr>
        <w:t>Given the scale of the financial challenges</w:t>
      </w:r>
      <w:r w:rsidR="6132EE14" w:rsidRPr="136F3BEB">
        <w:rPr>
          <w:rFonts w:ascii="Verdana" w:hAnsi="Verdana" w:cs="Calibri"/>
          <w:sz w:val="22"/>
          <w:szCs w:val="22"/>
        </w:rPr>
        <w:t xml:space="preserve">, public health teams need to ensure ongoing careful </w:t>
      </w:r>
      <w:r w:rsidRPr="136F3BEB">
        <w:rPr>
          <w:rFonts w:ascii="Verdana" w:hAnsi="Verdana" w:cs="Calibri"/>
          <w:sz w:val="22"/>
          <w:szCs w:val="22"/>
        </w:rPr>
        <w:t>review</w:t>
      </w:r>
      <w:r w:rsidR="50DED804" w:rsidRPr="136F3BEB">
        <w:rPr>
          <w:rFonts w:ascii="Verdana" w:hAnsi="Verdana" w:cs="Calibri"/>
          <w:sz w:val="22"/>
          <w:szCs w:val="22"/>
        </w:rPr>
        <w:t xml:space="preserve"> of</w:t>
      </w:r>
      <w:r w:rsidRPr="136F3BEB">
        <w:rPr>
          <w:rFonts w:ascii="Verdana" w:hAnsi="Verdana" w:cs="Calibri"/>
          <w:sz w:val="22"/>
          <w:szCs w:val="22"/>
        </w:rPr>
        <w:t xml:space="preserve"> needs, ambition and approach to ensure focus against key outcomes in sexual health and reducing health inequalities</w:t>
      </w:r>
      <w:r w:rsidR="5BF4F8A2" w:rsidRPr="136F3BEB">
        <w:rPr>
          <w:rFonts w:ascii="Verdana" w:hAnsi="Verdana" w:cs="Calibri"/>
          <w:sz w:val="22"/>
          <w:szCs w:val="22"/>
        </w:rPr>
        <w:t xml:space="preserve"> across the whole of Kent, giving priority to this area, but also ensuring the best possible use of resources and value for money against this.</w:t>
      </w:r>
    </w:p>
    <w:p w14:paraId="7A5F3A12" w14:textId="77777777" w:rsidR="009F2C10" w:rsidRPr="008D6AC4" w:rsidRDefault="70BE7CE3" w:rsidP="136F3BEB">
      <w:pPr>
        <w:pStyle w:val="Heading2"/>
        <w:numPr>
          <w:ilvl w:val="0"/>
          <w:numId w:val="0"/>
        </w:numPr>
        <w:spacing w:after="0"/>
        <w:jc w:val="both"/>
        <w:rPr>
          <w:rFonts w:ascii="Verdana" w:hAnsi="Verdana"/>
          <w:sz w:val="22"/>
          <w:szCs w:val="22"/>
        </w:rPr>
      </w:pPr>
      <w:bookmarkStart w:id="88" w:name="_Toc931943831"/>
      <w:r w:rsidRPr="136F3BEB">
        <w:rPr>
          <w:rFonts w:ascii="Verdana" w:hAnsi="Verdana"/>
          <w:sz w:val="22"/>
          <w:szCs w:val="22"/>
        </w:rPr>
        <w:t>1</w:t>
      </w:r>
      <w:r w:rsidR="6A15DECA" w:rsidRPr="136F3BEB">
        <w:rPr>
          <w:rFonts w:ascii="Verdana" w:hAnsi="Verdana"/>
          <w:sz w:val="22"/>
          <w:szCs w:val="22"/>
        </w:rPr>
        <w:t>1</w:t>
      </w:r>
      <w:r w:rsidRPr="136F3BEB">
        <w:rPr>
          <w:rFonts w:ascii="Verdana" w:hAnsi="Verdana"/>
          <w:sz w:val="22"/>
          <w:szCs w:val="22"/>
        </w:rPr>
        <w:t>.3 Table of recommendations for existing services</w:t>
      </w:r>
      <w:bookmarkEnd w:id="88"/>
    </w:p>
    <w:p w14:paraId="3243B7C8" w14:textId="77777777" w:rsidR="009F2C10" w:rsidRPr="008D6AC4" w:rsidRDefault="30B92BC0" w:rsidP="136F3BEB">
      <w:pPr>
        <w:rPr>
          <w:rFonts w:ascii="Verdana" w:hAnsi="Verdana"/>
          <w:sz w:val="22"/>
          <w:szCs w:val="22"/>
        </w:rPr>
      </w:pPr>
      <w:r w:rsidRPr="136F3BEB">
        <w:rPr>
          <w:rFonts w:ascii="Verdana" w:hAnsi="Verdana"/>
          <w:sz w:val="22"/>
          <w:szCs w:val="22"/>
        </w:rPr>
        <w:t>Finally, this needs assessment has highlighted a number of recommendations that relate to the sexual health model and transformation work underway. These</w:t>
      </w:r>
      <w:r w:rsidR="7906C63B" w:rsidRPr="136F3BEB">
        <w:rPr>
          <w:rFonts w:ascii="Verdana" w:hAnsi="Verdana"/>
          <w:sz w:val="22"/>
          <w:szCs w:val="22"/>
        </w:rPr>
        <w:t xml:space="preserve"> were formed from a full sexual health needs assessment document that was produced for the internal purposes of information the transformation work and included performance, finance and commercial information that is confidential to providers so not included in this document. </w:t>
      </w:r>
      <w:r w:rsidR="3AF15531" w:rsidRPr="136F3BEB">
        <w:rPr>
          <w:rFonts w:ascii="Verdana" w:hAnsi="Verdana"/>
          <w:sz w:val="22"/>
          <w:szCs w:val="22"/>
        </w:rPr>
        <w:t xml:space="preserve">Key recommendations for this </w:t>
      </w:r>
      <w:r w:rsidRPr="136F3BEB">
        <w:rPr>
          <w:rFonts w:ascii="Verdana" w:hAnsi="Verdana"/>
          <w:sz w:val="22"/>
          <w:szCs w:val="22"/>
        </w:rPr>
        <w:t>are summarised in the table below and have already helped to shape the decision making and thinking</w:t>
      </w:r>
      <w:r w:rsidR="75FC250D" w:rsidRPr="136F3BEB">
        <w:rPr>
          <w:rFonts w:ascii="Verdana" w:hAnsi="Verdana"/>
          <w:sz w:val="22"/>
          <w:szCs w:val="22"/>
        </w:rPr>
        <w:t xml:space="preserve"> that has been happening for transformation efforts locally in the duration of this work being undertaken.</w:t>
      </w:r>
    </w:p>
    <w:p w14:paraId="6AEE3537" w14:textId="77777777" w:rsidR="009F2C10" w:rsidRPr="008D6AC4" w:rsidRDefault="009F2C10" w:rsidP="136F3BEB">
      <w:pPr>
        <w:spacing w:before="0" w:after="0" w:line="240" w:lineRule="auto"/>
        <w:jc w:val="both"/>
        <w:rPr>
          <w:rFonts w:ascii="Verdana" w:eastAsia="Times New Roman" w:hAnsi="Verdana" w:cs="Calibri"/>
          <w:b/>
          <w:bCs/>
          <w:sz w:val="22"/>
          <w:szCs w:val="22"/>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689"/>
        <w:gridCol w:w="7553"/>
      </w:tblGrid>
      <w:tr w:rsidR="136F3BEB" w14:paraId="2D66AA0A" w14:textId="77777777" w:rsidTr="136F3BEB">
        <w:trPr>
          <w:trHeight w:val="300"/>
        </w:trPr>
        <w:tc>
          <w:tcPr>
            <w:tcW w:w="168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F7C7CB6" w14:textId="77777777" w:rsidR="136F3BEB" w:rsidRDefault="136F3BEB" w:rsidP="136F3BEB">
            <w:pPr>
              <w:spacing w:before="0" w:after="0" w:line="240" w:lineRule="auto"/>
              <w:jc w:val="both"/>
              <w:rPr>
                <w:rFonts w:ascii="Verdana" w:eastAsia="Times New Roman" w:hAnsi="Verdana" w:cs="Times New Roman"/>
              </w:rPr>
            </w:pPr>
            <w:r w:rsidRPr="136F3BEB">
              <w:rPr>
                <w:rFonts w:ascii="Verdana" w:eastAsia="Times New Roman" w:hAnsi="Verdana" w:cs="Calibri"/>
                <w:sz w:val="22"/>
                <w:szCs w:val="22"/>
              </w:rPr>
              <w:t>All Services </w:t>
            </w:r>
          </w:p>
        </w:tc>
        <w:tc>
          <w:tcPr>
            <w:tcW w:w="75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C92429" w14:textId="77777777" w:rsidR="136F3BEB" w:rsidRDefault="136F3BEB" w:rsidP="00F8351F">
            <w:pPr>
              <w:pStyle w:val="ListParagraph"/>
              <w:numPr>
                <w:ilvl w:val="0"/>
                <w:numId w:val="22"/>
              </w:numPr>
              <w:spacing w:before="0" w:after="0" w:line="240" w:lineRule="auto"/>
              <w:jc w:val="both"/>
              <w:rPr>
                <w:rFonts w:ascii="Verdana" w:eastAsia="Times New Roman" w:hAnsi="Verdana" w:cs="Calibri"/>
                <w:sz w:val="22"/>
                <w:szCs w:val="22"/>
              </w:rPr>
            </w:pPr>
            <w:r w:rsidRPr="136F3BEB">
              <w:rPr>
                <w:rFonts w:ascii="Verdana" w:eastAsia="Times New Roman" w:hAnsi="Verdana" w:cs="Calibri"/>
                <w:color w:val="000000" w:themeColor="text1"/>
                <w:sz w:val="22"/>
                <w:szCs w:val="22"/>
              </w:rPr>
              <w:t>KPIs currently activity focused and needs to be more outcome focussed </w:t>
            </w:r>
          </w:p>
          <w:p w14:paraId="407D3520" w14:textId="77777777" w:rsidR="136F3BEB" w:rsidRDefault="136F3BEB" w:rsidP="00F8351F">
            <w:pPr>
              <w:pStyle w:val="ListParagraph"/>
              <w:numPr>
                <w:ilvl w:val="0"/>
                <w:numId w:val="22"/>
              </w:numPr>
              <w:spacing w:before="0" w:after="0" w:line="240" w:lineRule="auto"/>
              <w:jc w:val="both"/>
              <w:rPr>
                <w:rFonts w:ascii="Verdana" w:hAnsi="Verdana"/>
                <w:sz w:val="22"/>
                <w:szCs w:val="22"/>
              </w:rPr>
            </w:pPr>
            <w:r w:rsidRPr="136F3BEB">
              <w:rPr>
                <w:rFonts w:ascii="Verdana" w:hAnsi="Verdana"/>
                <w:sz w:val="22"/>
                <w:szCs w:val="22"/>
              </w:rPr>
              <w:t>NICE Quality Standards are applied robustly and prioritised specifications and delivery.</w:t>
            </w:r>
          </w:p>
          <w:p w14:paraId="1E6BECC3" w14:textId="77777777" w:rsidR="136F3BEB" w:rsidRDefault="136F3BEB" w:rsidP="00F8351F">
            <w:pPr>
              <w:pStyle w:val="ListParagraph"/>
              <w:numPr>
                <w:ilvl w:val="0"/>
                <w:numId w:val="22"/>
              </w:numPr>
              <w:spacing w:before="0" w:after="0" w:line="240" w:lineRule="auto"/>
              <w:jc w:val="both"/>
              <w:rPr>
                <w:rFonts w:ascii="Verdana" w:hAnsi="Verdana"/>
                <w:sz w:val="22"/>
                <w:szCs w:val="22"/>
              </w:rPr>
            </w:pPr>
            <w:r w:rsidRPr="136F3BEB">
              <w:rPr>
                <w:rFonts w:ascii="Verdana" w:hAnsi="Verdana"/>
                <w:sz w:val="22"/>
                <w:szCs w:val="22"/>
              </w:rPr>
              <w:t>All services to aim to promote and increase numbers of people testing for STI’s</w:t>
            </w:r>
          </w:p>
        </w:tc>
      </w:tr>
      <w:tr w:rsidR="136F3BEB" w14:paraId="0728FB2A" w14:textId="77777777" w:rsidTr="136F3BEB">
        <w:trPr>
          <w:trHeight w:val="300"/>
        </w:trPr>
        <w:tc>
          <w:tcPr>
            <w:tcW w:w="168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6961A1F" w14:textId="77777777" w:rsidR="136F3BEB" w:rsidRDefault="136F3BEB" w:rsidP="136F3BEB">
            <w:pPr>
              <w:spacing w:before="0" w:after="0" w:line="240" w:lineRule="auto"/>
              <w:jc w:val="both"/>
              <w:rPr>
                <w:rFonts w:ascii="Verdana" w:eastAsia="Times New Roman" w:hAnsi="Verdana" w:cs="Times New Roman"/>
              </w:rPr>
            </w:pPr>
            <w:r w:rsidRPr="136F3BEB">
              <w:rPr>
                <w:rFonts w:ascii="Verdana" w:eastAsia="Times New Roman" w:hAnsi="Verdana" w:cs="Calibri"/>
                <w:sz w:val="22"/>
                <w:szCs w:val="22"/>
              </w:rPr>
              <w:t>Integrated Sexual Health Services </w:t>
            </w:r>
          </w:p>
        </w:tc>
        <w:tc>
          <w:tcPr>
            <w:tcW w:w="75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77504F5" w14:textId="77777777" w:rsidR="136F3BEB" w:rsidRDefault="136F3BEB" w:rsidP="00F8351F">
            <w:pPr>
              <w:pStyle w:val="ListParagraph"/>
              <w:numPr>
                <w:ilvl w:val="0"/>
                <w:numId w:val="22"/>
              </w:numPr>
              <w:spacing w:before="0" w:after="0" w:line="240" w:lineRule="auto"/>
              <w:jc w:val="both"/>
              <w:rPr>
                <w:rFonts w:ascii="Verdana" w:hAnsi="Verdana"/>
              </w:rPr>
            </w:pPr>
            <w:r w:rsidRPr="136F3BEB">
              <w:rPr>
                <w:rFonts w:ascii="Verdana" w:eastAsia="Verdana" w:hAnsi="Verdana" w:cs="Verdana"/>
                <w:sz w:val="22"/>
                <w:szCs w:val="22"/>
              </w:rPr>
              <w:t>Integrated sexual health services (ISHS) specifications should be updated to include changes to policies and understanding after the pandemic and since the last SHNA.</w:t>
            </w:r>
          </w:p>
          <w:p w14:paraId="3F4C01D9" w14:textId="77777777" w:rsidR="136F3BEB" w:rsidRDefault="136F3BEB" w:rsidP="00F8351F">
            <w:pPr>
              <w:pStyle w:val="ListParagraph"/>
              <w:numPr>
                <w:ilvl w:val="0"/>
                <w:numId w:val="22"/>
              </w:numPr>
              <w:spacing w:before="0" w:after="0" w:line="240" w:lineRule="auto"/>
              <w:jc w:val="both"/>
              <w:rPr>
                <w:rFonts w:ascii="Verdana" w:eastAsia="Times New Roman" w:hAnsi="Verdana" w:cs="Calibri"/>
                <w:sz w:val="22"/>
                <w:szCs w:val="22"/>
              </w:rPr>
            </w:pPr>
            <w:r w:rsidRPr="136F3BEB">
              <w:rPr>
                <w:rFonts w:ascii="Verdana" w:eastAsia="Times New Roman" w:hAnsi="Verdana" w:cs="Calibri"/>
                <w:color w:val="000000" w:themeColor="text1"/>
                <w:sz w:val="22"/>
                <w:szCs w:val="22"/>
              </w:rPr>
              <w:t>Continue with service in the integrated model, with focus on reducing STI’s and access to contraception  </w:t>
            </w:r>
          </w:p>
          <w:p w14:paraId="61EFA950" w14:textId="77777777" w:rsidR="136F3BEB" w:rsidRDefault="136F3BEB" w:rsidP="00F8351F">
            <w:pPr>
              <w:pStyle w:val="ListParagraph"/>
              <w:numPr>
                <w:ilvl w:val="0"/>
                <w:numId w:val="22"/>
              </w:numPr>
              <w:spacing w:before="0" w:after="0" w:line="240" w:lineRule="auto"/>
              <w:jc w:val="both"/>
              <w:rPr>
                <w:rFonts w:ascii="Verdana" w:hAnsi="Verdana"/>
                <w:sz w:val="22"/>
                <w:szCs w:val="22"/>
              </w:rPr>
            </w:pPr>
            <w:r w:rsidRPr="136F3BEB">
              <w:rPr>
                <w:rFonts w:ascii="Verdana" w:hAnsi="Verdana"/>
                <w:sz w:val="22"/>
                <w:szCs w:val="22"/>
              </w:rPr>
              <w:t>To consider how providers can work closer together and share systems or job roles, ensuring equitable access options for the Kent population.</w:t>
            </w:r>
            <w:r w:rsidRPr="136F3BEB">
              <w:rPr>
                <w:rFonts w:ascii="Verdana" w:eastAsia="Times New Roman" w:hAnsi="Verdana" w:cs="Calibri"/>
                <w:color w:val="000000" w:themeColor="text1"/>
                <w:sz w:val="22"/>
                <w:szCs w:val="22"/>
              </w:rPr>
              <w:t xml:space="preserve"> </w:t>
            </w:r>
          </w:p>
          <w:p w14:paraId="423F46D7" w14:textId="77777777" w:rsidR="136F3BEB" w:rsidRDefault="136F3BEB" w:rsidP="00F8351F">
            <w:pPr>
              <w:pStyle w:val="ListParagraph"/>
              <w:numPr>
                <w:ilvl w:val="0"/>
                <w:numId w:val="22"/>
              </w:numPr>
              <w:spacing w:before="0" w:after="0" w:line="240" w:lineRule="auto"/>
              <w:jc w:val="both"/>
              <w:rPr>
                <w:rFonts w:ascii="Verdana" w:eastAsia="Times New Roman" w:hAnsi="Verdana" w:cs="Calibri"/>
                <w:sz w:val="22"/>
                <w:szCs w:val="22"/>
              </w:rPr>
            </w:pPr>
            <w:r w:rsidRPr="136F3BEB">
              <w:rPr>
                <w:rFonts w:ascii="Verdana" w:eastAsia="Times New Roman" w:hAnsi="Verdana" w:cs="Calibri"/>
                <w:color w:val="000000" w:themeColor="text1"/>
                <w:sz w:val="22"/>
                <w:szCs w:val="22"/>
              </w:rPr>
              <w:t>To consider the introduction of a clinic in Dover, given the potential transport issues in residents travelling to another clinic. </w:t>
            </w:r>
          </w:p>
          <w:p w14:paraId="108D8BB6" w14:textId="77777777" w:rsidR="136F3BEB" w:rsidRDefault="136F3BEB" w:rsidP="00F8351F">
            <w:pPr>
              <w:pStyle w:val="ListParagraph"/>
              <w:numPr>
                <w:ilvl w:val="0"/>
                <w:numId w:val="22"/>
              </w:numPr>
              <w:spacing w:before="0" w:after="0" w:line="240" w:lineRule="auto"/>
              <w:jc w:val="both"/>
              <w:rPr>
                <w:rFonts w:ascii="Verdana" w:eastAsia="Times New Roman" w:hAnsi="Verdana" w:cs="Calibri"/>
                <w:sz w:val="22"/>
                <w:szCs w:val="22"/>
              </w:rPr>
            </w:pPr>
            <w:r w:rsidRPr="136F3BEB">
              <w:rPr>
                <w:rFonts w:ascii="Verdana" w:eastAsia="Times New Roman" w:hAnsi="Verdana" w:cs="Calibri"/>
                <w:color w:val="000000" w:themeColor="text1"/>
                <w:sz w:val="22"/>
                <w:szCs w:val="22"/>
              </w:rPr>
              <w:t>To consider the introduction of a clinic in Sevenoaks or Tonbridge &amp; Malling, however these are more affluent areas with better outcomes. </w:t>
            </w:r>
          </w:p>
          <w:p w14:paraId="21358449" w14:textId="77777777" w:rsidR="136F3BEB" w:rsidRDefault="136F3BEB" w:rsidP="00F8351F">
            <w:pPr>
              <w:pStyle w:val="ListParagraph"/>
              <w:numPr>
                <w:ilvl w:val="0"/>
                <w:numId w:val="22"/>
              </w:numPr>
              <w:spacing w:before="0" w:after="0" w:line="240" w:lineRule="auto"/>
              <w:jc w:val="both"/>
              <w:rPr>
                <w:rFonts w:ascii="Verdana" w:eastAsia="Times New Roman" w:hAnsi="Verdana" w:cs="Calibri"/>
                <w:sz w:val="22"/>
                <w:szCs w:val="22"/>
              </w:rPr>
            </w:pPr>
            <w:r w:rsidRPr="136F3BEB">
              <w:rPr>
                <w:rFonts w:ascii="Verdana" w:eastAsia="Times New Roman" w:hAnsi="Verdana" w:cs="Calibri"/>
                <w:color w:val="000000" w:themeColor="text1"/>
                <w:sz w:val="22"/>
                <w:szCs w:val="22"/>
              </w:rPr>
              <w:t>To understand and coordinate the outreach elements of the services, including which key groups are supported, and what is the impact on outcomes. </w:t>
            </w:r>
          </w:p>
          <w:p w14:paraId="1D209CB8" w14:textId="77777777" w:rsidR="136F3BEB" w:rsidRDefault="136F3BEB" w:rsidP="00F8351F">
            <w:pPr>
              <w:pStyle w:val="ListParagraph"/>
              <w:numPr>
                <w:ilvl w:val="0"/>
                <w:numId w:val="22"/>
              </w:numPr>
              <w:spacing w:before="0" w:after="0" w:line="240" w:lineRule="auto"/>
              <w:jc w:val="both"/>
              <w:rPr>
                <w:rFonts w:ascii="Verdana" w:hAnsi="Verdana"/>
                <w:sz w:val="22"/>
                <w:szCs w:val="22"/>
              </w:rPr>
            </w:pPr>
            <w:r w:rsidRPr="136F3BEB">
              <w:rPr>
                <w:rFonts w:ascii="Verdana" w:hAnsi="Verdana"/>
                <w:sz w:val="22"/>
                <w:szCs w:val="22"/>
              </w:rPr>
              <w:t>Men who have sex with men (MSM’s) are offered follow up testing every 3 months</w:t>
            </w:r>
          </w:p>
        </w:tc>
      </w:tr>
      <w:tr w:rsidR="136F3BEB" w14:paraId="1BDFE47B" w14:textId="77777777" w:rsidTr="136F3BEB">
        <w:trPr>
          <w:trHeight w:val="300"/>
        </w:trPr>
        <w:tc>
          <w:tcPr>
            <w:tcW w:w="168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A383633" w14:textId="77777777" w:rsidR="136F3BEB" w:rsidRDefault="136F3BEB" w:rsidP="136F3BEB">
            <w:pPr>
              <w:spacing w:before="0" w:after="0" w:line="240" w:lineRule="auto"/>
              <w:jc w:val="both"/>
              <w:rPr>
                <w:rFonts w:ascii="Verdana" w:eastAsia="Times New Roman" w:hAnsi="Verdana" w:cs="Times New Roman"/>
              </w:rPr>
            </w:pPr>
            <w:r w:rsidRPr="136F3BEB">
              <w:rPr>
                <w:rFonts w:ascii="Verdana" w:eastAsia="Times New Roman" w:hAnsi="Verdana" w:cs="Calibri"/>
                <w:sz w:val="22"/>
                <w:szCs w:val="22"/>
              </w:rPr>
              <w:t xml:space="preserve">Psychosexual </w:t>
            </w:r>
            <w:r w:rsidRPr="136F3BEB">
              <w:rPr>
                <w:rFonts w:ascii="Verdana" w:eastAsia="Times New Roman" w:hAnsi="Verdana" w:cs="Calibri"/>
                <w:sz w:val="22"/>
                <w:szCs w:val="22"/>
              </w:rPr>
              <w:lastRenderedPageBreak/>
              <w:t>Therapy </w:t>
            </w:r>
          </w:p>
        </w:tc>
        <w:tc>
          <w:tcPr>
            <w:tcW w:w="75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984285A" w14:textId="77777777" w:rsidR="136F3BEB" w:rsidRDefault="136F3BEB" w:rsidP="00F8351F">
            <w:pPr>
              <w:pStyle w:val="ListParagraph"/>
              <w:numPr>
                <w:ilvl w:val="0"/>
                <w:numId w:val="23"/>
              </w:numPr>
              <w:spacing w:before="0" w:after="0" w:line="240" w:lineRule="auto"/>
              <w:jc w:val="both"/>
              <w:rPr>
                <w:rFonts w:ascii="Verdana" w:eastAsia="Times New Roman" w:hAnsi="Verdana" w:cs="Calibri"/>
                <w:sz w:val="22"/>
                <w:szCs w:val="22"/>
              </w:rPr>
            </w:pPr>
            <w:r w:rsidRPr="136F3BEB">
              <w:rPr>
                <w:rFonts w:ascii="Verdana" w:eastAsia="Times New Roman" w:hAnsi="Verdana" w:cs="Calibri"/>
                <w:color w:val="000000" w:themeColor="text1"/>
                <w:sz w:val="22"/>
                <w:szCs w:val="22"/>
              </w:rPr>
              <w:lastRenderedPageBreak/>
              <w:t xml:space="preserve">Looking at whether to move online rather than continue </w:t>
            </w:r>
            <w:r w:rsidRPr="136F3BEB">
              <w:rPr>
                <w:rFonts w:ascii="Verdana" w:eastAsia="Times New Roman" w:hAnsi="Verdana" w:cs="Calibri"/>
                <w:color w:val="000000" w:themeColor="text1"/>
                <w:sz w:val="22"/>
                <w:szCs w:val="22"/>
              </w:rPr>
              <w:lastRenderedPageBreak/>
              <w:t>investing in property for this.  </w:t>
            </w:r>
          </w:p>
          <w:p w14:paraId="0E0CFF22" w14:textId="77777777" w:rsidR="136F3BEB" w:rsidRDefault="136F3BEB" w:rsidP="00F8351F">
            <w:pPr>
              <w:pStyle w:val="ListParagraph"/>
              <w:numPr>
                <w:ilvl w:val="0"/>
                <w:numId w:val="23"/>
              </w:numPr>
              <w:spacing w:before="0" w:after="0" w:line="240" w:lineRule="auto"/>
              <w:jc w:val="both"/>
              <w:rPr>
                <w:rFonts w:ascii="Verdana" w:eastAsia="Times New Roman" w:hAnsi="Verdana" w:cs="Calibri"/>
                <w:sz w:val="22"/>
                <w:szCs w:val="22"/>
              </w:rPr>
            </w:pPr>
            <w:r w:rsidRPr="136F3BEB">
              <w:rPr>
                <w:rFonts w:ascii="Verdana" w:eastAsia="Times New Roman" w:hAnsi="Verdana" w:cs="Calibri"/>
                <w:sz w:val="22"/>
                <w:szCs w:val="22"/>
              </w:rPr>
              <w:t>To understand the psychological sexual health needs of the Kent population who may require the psychosexual service, for example the influence of adverse childhood experiences on the sexual health of adults. </w:t>
            </w:r>
            <w:r w:rsidRPr="136F3BEB">
              <w:rPr>
                <w:rFonts w:ascii="Verdana" w:eastAsia="Times New Roman" w:hAnsi="Verdana" w:cs="Calibri"/>
                <w:color w:val="000000" w:themeColor="text1"/>
                <w:sz w:val="22"/>
                <w:szCs w:val="22"/>
              </w:rPr>
              <w:t xml:space="preserve"> </w:t>
            </w:r>
          </w:p>
          <w:p w14:paraId="23A46730" w14:textId="77777777" w:rsidR="136F3BEB" w:rsidRDefault="136F3BEB" w:rsidP="00F8351F">
            <w:pPr>
              <w:pStyle w:val="ListParagraph"/>
              <w:numPr>
                <w:ilvl w:val="0"/>
                <w:numId w:val="23"/>
              </w:numPr>
              <w:spacing w:before="0" w:after="0" w:line="240" w:lineRule="auto"/>
              <w:jc w:val="both"/>
              <w:rPr>
                <w:rFonts w:ascii="Verdana" w:eastAsia="Times New Roman" w:hAnsi="Verdana" w:cs="Calibri"/>
                <w:sz w:val="22"/>
                <w:szCs w:val="22"/>
              </w:rPr>
            </w:pPr>
            <w:r w:rsidRPr="136F3BEB">
              <w:rPr>
                <w:rFonts w:ascii="Verdana" w:eastAsia="Times New Roman" w:hAnsi="Verdana" w:cs="Calibri"/>
                <w:color w:val="000000" w:themeColor="text1"/>
                <w:sz w:val="22"/>
                <w:szCs w:val="22"/>
              </w:rPr>
              <w:t>To collect patient insights to understand why a large number of people do not complete the full course of therapy or do not engage following initial referral.</w:t>
            </w:r>
          </w:p>
          <w:p w14:paraId="751759E0" w14:textId="77777777" w:rsidR="136F3BEB" w:rsidRDefault="136F3BEB" w:rsidP="00F8351F">
            <w:pPr>
              <w:pStyle w:val="ListParagraph"/>
              <w:numPr>
                <w:ilvl w:val="0"/>
                <w:numId w:val="23"/>
              </w:numPr>
              <w:spacing w:before="0" w:after="0" w:line="240" w:lineRule="auto"/>
              <w:jc w:val="both"/>
              <w:rPr>
                <w:rFonts w:ascii="Verdana" w:eastAsia="Times New Roman" w:hAnsi="Verdana" w:cs="Calibri"/>
                <w:sz w:val="22"/>
                <w:szCs w:val="22"/>
              </w:rPr>
            </w:pPr>
            <w:r w:rsidRPr="136F3BEB">
              <w:rPr>
                <w:rFonts w:ascii="Verdana" w:eastAsia="Times New Roman" w:hAnsi="Verdana" w:cs="Calibri"/>
                <w:color w:val="000000" w:themeColor="text1"/>
                <w:sz w:val="22"/>
                <w:szCs w:val="22"/>
              </w:rPr>
              <w:t>To collect patient insights and staff insights to understand the impact of the service on psychosexual outcomes to ensure quality service delivery and equity across Kent. </w:t>
            </w:r>
          </w:p>
        </w:tc>
      </w:tr>
      <w:tr w:rsidR="136F3BEB" w14:paraId="278EB7E7" w14:textId="77777777" w:rsidTr="136F3BEB">
        <w:trPr>
          <w:trHeight w:val="300"/>
        </w:trPr>
        <w:tc>
          <w:tcPr>
            <w:tcW w:w="168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74D1121" w14:textId="77777777" w:rsidR="136F3BEB" w:rsidRDefault="136F3BEB" w:rsidP="136F3BEB">
            <w:pPr>
              <w:spacing w:before="0" w:after="0" w:line="240" w:lineRule="auto"/>
              <w:jc w:val="both"/>
              <w:rPr>
                <w:rFonts w:ascii="Verdana" w:eastAsia="Times New Roman" w:hAnsi="Verdana" w:cs="Times New Roman"/>
              </w:rPr>
            </w:pPr>
            <w:r w:rsidRPr="136F3BEB">
              <w:rPr>
                <w:rFonts w:ascii="Verdana" w:eastAsia="Times New Roman" w:hAnsi="Verdana" w:cs="Calibri"/>
                <w:sz w:val="22"/>
                <w:szCs w:val="22"/>
              </w:rPr>
              <w:lastRenderedPageBreak/>
              <w:t>HIV Services </w:t>
            </w:r>
          </w:p>
        </w:tc>
        <w:tc>
          <w:tcPr>
            <w:tcW w:w="75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2972602" w14:textId="77777777" w:rsidR="136F3BEB" w:rsidRDefault="136F3BEB" w:rsidP="00F8351F">
            <w:pPr>
              <w:pStyle w:val="ListParagraph"/>
              <w:numPr>
                <w:ilvl w:val="0"/>
                <w:numId w:val="24"/>
              </w:numPr>
              <w:spacing w:before="0" w:after="0" w:line="240" w:lineRule="auto"/>
              <w:jc w:val="both"/>
              <w:rPr>
                <w:rFonts w:ascii="Verdana" w:eastAsia="Times New Roman" w:hAnsi="Verdana" w:cs="Calibri"/>
                <w:sz w:val="22"/>
                <w:szCs w:val="22"/>
              </w:rPr>
            </w:pPr>
            <w:r w:rsidRPr="136F3BEB">
              <w:rPr>
                <w:rFonts w:ascii="Verdana" w:eastAsia="Times New Roman" w:hAnsi="Verdana" w:cs="Calibri"/>
                <w:sz w:val="22"/>
                <w:szCs w:val="22"/>
              </w:rPr>
              <w:t>Conduct Deep Dive report into HIV in Kent</w:t>
            </w:r>
          </w:p>
          <w:p w14:paraId="5B9A00DA" w14:textId="77777777" w:rsidR="136F3BEB" w:rsidRDefault="136F3BEB" w:rsidP="00F8351F">
            <w:pPr>
              <w:pStyle w:val="ListParagraph"/>
              <w:numPr>
                <w:ilvl w:val="0"/>
                <w:numId w:val="24"/>
              </w:numPr>
              <w:spacing w:before="0" w:after="0" w:line="240" w:lineRule="auto"/>
              <w:jc w:val="both"/>
              <w:rPr>
                <w:rFonts w:ascii="Verdana" w:eastAsia="Times New Roman" w:hAnsi="Verdana" w:cs="Calibri"/>
                <w:sz w:val="22"/>
                <w:szCs w:val="22"/>
              </w:rPr>
            </w:pPr>
            <w:r w:rsidRPr="136F3BEB">
              <w:rPr>
                <w:rFonts w:ascii="Verdana" w:eastAsia="Times New Roman" w:hAnsi="Verdana" w:cs="Calibri"/>
                <w:color w:val="000000" w:themeColor="text1"/>
                <w:sz w:val="22"/>
                <w:szCs w:val="22"/>
              </w:rPr>
              <w:t>Review of budget for HIV services, considering the rising demand and costs. </w:t>
            </w:r>
          </w:p>
          <w:p w14:paraId="3E1F9B23" w14:textId="77777777" w:rsidR="136F3BEB" w:rsidRDefault="136F3BEB" w:rsidP="00F8351F">
            <w:pPr>
              <w:pStyle w:val="ListParagraph"/>
              <w:numPr>
                <w:ilvl w:val="0"/>
                <w:numId w:val="24"/>
              </w:numPr>
              <w:spacing w:before="0" w:after="0" w:line="240" w:lineRule="auto"/>
              <w:jc w:val="both"/>
              <w:rPr>
                <w:rFonts w:ascii="Verdana" w:eastAsia="Times New Roman" w:hAnsi="Verdana" w:cs="Calibri"/>
                <w:sz w:val="22"/>
                <w:szCs w:val="22"/>
              </w:rPr>
            </w:pPr>
            <w:r w:rsidRPr="136F3BEB">
              <w:rPr>
                <w:rFonts w:ascii="Verdana" w:eastAsia="Times New Roman" w:hAnsi="Verdana" w:cs="Calibri"/>
                <w:color w:val="000000" w:themeColor="text1"/>
                <w:sz w:val="22"/>
                <w:szCs w:val="22"/>
              </w:rPr>
              <w:t>Patient insights data to understand why the DNA proportion is steadily rising. Important to address this given the increasing demand and cost for the service. </w:t>
            </w:r>
          </w:p>
          <w:p w14:paraId="5D8F75CA" w14:textId="77777777" w:rsidR="136F3BEB" w:rsidRDefault="136F3BEB" w:rsidP="00F8351F">
            <w:pPr>
              <w:pStyle w:val="ListParagraph"/>
              <w:numPr>
                <w:ilvl w:val="0"/>
                <w:numId w:val="24"/>
              </w:numPr>
              <w:spacing w:before="0" w:after="0" w:line="240" w:lineRule="auto"/>
              <w:jc w:val="both"/>
              <w:rPr>
                <w:rFonts w:ascii="Verdana" w:eastAsia="Times New Roman" w:hAnsi="Verdana" w:cs="Calibri"/>
                <w:sz w:val="22"/>
                <w:szCs w:val="22"/>
              </w:rPr>
            </w:pPr>
            <w:r w:rsidRPr="136F3BEB">
              <w:rPr>
                <w:rFonts w:ascii="Verdana" w:eastAsia="Times New Roman" w:hAnsi="Verdana" w:cs="Calibri"/>
                <w:color w:val="000000" w:themeColor="text1"/>
                <w:sz w:val="22"/>
                <w:szCs w:val="22"/>
              </w:rPr>
              <w:t>Develop a peer support service, as recommended as best practice.</w:t>
            </w:r>
          </w:p>
          <w:p w14:paraId="63A6ABAF" w14:textId="77777777" w:rsidR="136F3BEB" w:rsidRDefault="136F3BEB" w:rsidP="00F8351F">
            <w:pPr>
              <w:pStyle w:val="ListParagraph"/>
              <w:numPr>
                <w:ilvl w:val="0"/>
                <w:numId w:val="24"/>
              </w:numPr>
              <w:spacing w:before="0" w:after="0" w:line="240" w:lineRule="auto"/>
              <w:jc w:val="both"/>
              <w:rPr>
                <w:rFonts w:ascii="Verdana" w:eastAsia="Times New Roman" w:hAnsi="Verdana" w:cs="Calibri"/>
                <w:sz w:val="22"/>
                <w:szCs w:val="22"/>
              </w:rPr>
            </w:pPr>
            <w:r w:rsidRPr="136F3BEB">
              <w:rPr>
                <w:rFonts w:ascii="Verdana" w:eastAsia="Times New Roman" w:hAnsi="Verdana" w:cs="Calibri"/>
                <w:color w:val="000000" w:themeColor="text1"/>
                <w:sz w:val="22"/>
                <w:szCs w:val="22"/>
              </w:rPr>
              <w:t>Review the options for strengthening of provision of HIV service provided to residents in Swale, Dover, Sevenoaks and Tonbridge &amp; Malling.</w:t>
            </w:r>
          </w:p>
          <w:p w14:paraId="0C154898" w14:textId="77777777" w:rsidR="136F3BEB" w:rsidRDefault="136F3BEB" w:rsidP="00F8351F">
            <w:pPr>
              <w:pStyle w:val="ListParagraph"/>
              <w:numPr>
                <w:ilvl w:val="0"/>
                <w:numId w:val="24"/>
              </w:numPr>
              <w:spacing w:before="0" w:after="0" w:line="240" w:lineRule="auto"/>
              <w:jc w:val="both"/>
              <w:rPr>
                <w:rFonts w:ascii="Verdana" w:eastAsia="Times New Roman" w:hAnsi="Verdana" w:cs="Calibri"/>
                <w:sz w:val="22"/>
                <w:szCs w:val="22"/>
              </w:rPr>
            </w:pPr>
            <w:r w:rsidRPr="136F3BEB">
              <w:rPr>
                <w:rFonts w:ascii="Verdana" w:eastAsia="Times New Roman" w:hAnsi="Verdana" w:cs="Calibri"/>
                <w:color w:val="000000" w:themeColor="text1"/>
                <w:sz w:val="22"/>
                <w:szCs w:val="22"/>
              </w:rPr>
              <w:t>Increase testing coverage given the marked drop in coverage from pre-pandemic levels, including via supporting promotional campaigns. </w:t>
            </w:r>
          </w:p>
        </w:tc>
      </w:tr>
      <w:tr w:rsidR="136F3BEB" w14:paraId="3EAC42CF" w14:textId="77777777" w:rsidTr="136F3BEB">
        <w:trPr>
          <w:trHeight w:val="300"/>
        </w:trPr>
        <w:tc>
          <w:tcPr>
            <w:tcW w:w="168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931D3BD" w14:textId="77777777" w:rsidR="136F3BEB" w:rsidRDefault="136F3BEB" w:rsidP="136F3BEB">
            <w:pPr>
              <w:spacing w:before="0" w:after="0" w:line="240" w:lineRule="auto"/>
              <w:rPr>
                <w:rFonts w:ascii="Verdana" w:eastAsia="Times New Roman" w:hAnsi="Verdana" w:cs="Times New Roman"/>
              </w:rPr>
            </w:pPr>
            <w:r w:rsidRPr="136F3BEB">
              <w:rPr>
                <w:rFonts w:ascii="Verdana" w:eastAsia="Times New Roman" w:hAnsi="Verdana" w:cs="Calibri"/>
                <w:sz w:val="22"/>
                <w:szCs w:val="22"/>
              </w:rPr>
              <w:t>Online STI Testing </w:t>
            </w:r>
          </w:p>
        </w:tc>
        <w:tc>
          <w:tcPr>
            <w:tcW w:w="75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794C3B0" w14:textId="77777777" w:rsidR="136F3BEB" w:rsidRDefault="136F3BEB" w:rsidP="00F8351F">
            <w:pPr>
              <w:pStyle w:val="ListParagraph"/>
              <w:numPr>
                <w:ilvl w:val="0"/>
                <w:numId w:val="25"/>
              </w:numPr>
              <w:spacing w:before="0" w:after="0" w:line="240" w:lineRule="auto"/>
              <w:jc w:val="both"/>
              <w:rPr>
                <w:rFonts w:ascii="Verdana" w:eastAsia="Times New Roman" w:hAnsi="Verdana" w:cs="Calibri"/>
                <w:sz w:val="22"/>
                <w:szCs w:val="22"/>
              </w:rPr>
            </w:pPr>
            <w:r w:rsidRPr="136F3BEB">
              <w:rPr>
                <w:rFonts w:ascii="Verdana" w:eastAsia="Times New Roman" w:hAnsi="Verdana" w:cs="Calibri"/>
                <w:color w:val="000000" w:themeColor="text1"/>
                <w:sz w:val="22"/>
                <w:szCs w:val="22"/>
              </w:rPr>
              <w:t>Further insights into online sexual health services. Need more high-quality patient service and ideas for improvement, this could be via mystery shoppers.  </w:t>
            </w:r>
          </w:p>
          <w:p w14:paraId="21242276" w14:textId="77777777" w:rsidR="136F3BEB" w:rsidRDefault="136F3BEB" w:rsidP="00F8351F">
            <w:pPr>
              <w:pStyle w:val="ListParagraph"/>
              <w:numPr>
                <w:ilvl w:val="0"/>
                <w:numId w:val="25"/>
              </w:numPr>
              <w:spacing w:before="0" w:after="0" w:line="240" w:lineRule="auto"/>
              <w:jc w:val="both"/>
              <w:rPr>
                <w:rFonts w:ascii="Verdana" w:eastAsia="Times New Roman" w:hAnsi="Verdana" w:cs="Calibri"/>
                <w:sz w:val="22"/>
                <w:szCs w:val="22"/>
              </w:rPr>
            </w:pPr>
            <w:r w:rsidRPr="136F3BEB">
              <w:rPr>
                <w:rFonts w:ascii="Verdana" w:eastAsia="Times New Roman" w:hAnsi="Verdana" w:cs="Calibri"/>
                <w:color w:val="000000" w:themeColor="text1"/>
                <w:sz w:val="22"/>
                <w:szCs w:val="22"/>
              </w:rPr>
              <w:t>Consider option to bring contract management in house also. </w:t>
            </w:r>
          </w:p>
          <w:p w14:paraId="024AD586" w14:textId="77777777" w:rsidR="136F3BEB" w:rsidRDefault="136F3BEB" w:rsidP="00F8351F">
            <w:pPr>
              <w:pStyle w:val="ListParagraph"/>
              <w:numPr>
                <w:ilvl w:val="0"/>
                <w:numId w:val="25"/>
              </w:numPr>
              <w:spacing w:before="0" w:after="0" w:line="240" w:lineRule="auto"/>
              <w:jc w:val="both"/>
              <w:rPr>
                <w:rFonts w:ascii="Verdana" w:eastAsia="Times New Roman" w:hAnsi="Verdana" w:cs="Calibri"/>
                <w:sz w:val="22"/>
                <w:szCs w:val="22"/>
              </w:rPr>
            </w:pPr>
            <w:r w:rsidRPr="136F3BEB">
              <w:rPr>
                <w:rFonts w:ascii="Verdana" w:eastAsia="Times New Roman" w:hAnsi="Verdana" w:cs="Calibri"/>
                <w:sz w:val="22"/>
                <w:szCs w:val="22"/>
              </w:rPr>
              <w:t>Need further exploration of digital services that could be included in the online service.</w:t>
            </w:r>
          </w:p>
          <w:p w14:paraId="0BEE2231" w14:textId="77777777" w:rsidR="136F3BEB" w:rsidRDefault="136F3BEB" w:rsidP="00F8351F">
            <w:pPr>
              <w:pStyle w:val="ListParagraph"/>
              <w:numPr>
                <w:ilvl w:val="0"/>
                <w:numId w:val="25"/>
              </w:numPr>
              <w:spacing w:before="0" w:after="0" w:line="240" w:lineRule="auto"/>
              <w:jc w:val="both"/>
              <w:rPr>
                <w:rFonts w:ascii="Verdana" w:eastAsia="Times New Roman" w:hAnsi="Verdana" w:cs="Calibri"/>
                <w:sz w:val="22"/>
                <w:szCs w:val="22"/>
              </w:rPr>
            </w:pPr>
            <w:r w:rsidRPr="136F3BEB">
              <w:rPr>
                <w:rFonts w:ascii="Verdana" w:eastAsia="Times New Roman" w:hAnsi="Verdana" w:cs="Calibri"/>
                <w:color w:val="000000" w:themeColor="text1"/>
                <w:sz w:val="22"/>
                <w:szCs w:val="22"/>
              </w:rPr>
              <w:t>Understanding why kits aren’t returned, and why some users order multiple tests to reduce costs and better support the population to access an appropriate sexual health service.</w:t>
            </w:r>
          </w:p>
          <w:p w14:paraId="49A2613C" w14:textId="77777777" w:rsidR="136F3BEB" w:rsidRDefault="136F3BEB" w:rsidP="00F8351F">
            <w:pPr>
              <w:pStyle w:val="ListParagraph"/>
              <w:numPr>
                <w:ilvl w:val="0"/>
                <w:numId w:val="25"/>
              </w:numPr>
              <w:spacing w:before="0" w:after="0" w:line="240" w:lineRule="auto"/>
              <w:jc w:val="both"/>
              <w:rPr>
                <w:rFonts w:ascii="Verdana" w:eastAsia="Times New Roman" w:hAnsi="Verdana" w:cs="Calibri"/>
                <w:sz w:val="22"/>
                <w:szCs w:val="22"/>
              </w:rPr>
            </w:pPr>
            <w:r w:rsidRPr="136F3BEB">
              <w:rPr>
                <w:rFonts w:ascii="Verdana" w:eastAsia="Times New Roman" w:hAnsi="Verdana" w:cs="Calibri"/>
                <w:sz w:val="22"/>
                <w:szCs w:val="22"/>
              </w:rPr>
              <w:t>Further investigations into the unexpectedly similar proportions of positives between symptomatic and asymptomatic are warranted, equally a deeper dive into the online ordering process and justification. </w:t>
            </w:r>
          </w:p>
          <w:p w14:paraId="75790470" w14:textId="77777777" w:rsidR="136F3BEB" w:rsidRDefault="136F3BEB" w:rsidP="00F8351F">
            <w:pPr>
              <w:pStyle w:val="ListParagraph"/>
              <w:numPr>
                <w:ilvl w:val="0"/>
                <w:numId w:val="25"/>
              </w:numPr>
              <w:spacing w:before="0" w:after="0" w:line="240" w:lineRule="auto"/>
              <w:jc w:val="both"/>
              <w:rPr>
                <w:rFonts w:ascii="Verdana" w:eastAsia="Times New Roman" w:hAnsi="Verdana" w:cs="Calibri"/>
                <w:sz w:val="22"/>
                <w:szCs w:val="22"/>
              </w:rPr>
            </w:pPr>
            <w:r w:rsidRPr="136F3BEB">
              <w:rPr>
                <w:rFonts w:ascii="Verdana" w:eastAsia="Times New Roman" w:hAnsi="Verdana" w:cs="Calibri"/>
                <w:sz w:val="22"/>
                <w:szCs w:val="22"/>
              </w:rPr>
              <w:t>Men who have sex with men are identified and offered following up testing every 3 months</w:t>
            </w:r>
          </w:p>
        </w:tc>
      </w:tr>
      <w:tr w:rsidR="136F3BEB" w14:paraId="215EACEF" w14:textId="77777777" w:rsidTr="136F3BEB">
        <w:trPr>
          <w:trHeight w:val="300"/>
        </w:trPr>
        <w:tc>
          <w:tcPr>
            <w:tcW w:w="168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8BDE6E" w14:textId="77777777" w:rsidR="136F3BEB" w:rsidRDefault="136F3BEB" w:rsidP="136F3BEB">
            <w:pPr>
              <w:spacing w:before="0" w:after="0" w:line="240" w:lineRule="auto"/>
              <w:jc w:val="both"/>
              <w:rPr>
                <w:rFonts w:ascii="Verdana" w:eastAsia="Times New Roman" w:hAnsi="Verdana" w:cs="Times New Roman"/>
              </w:rPr>
            </w:pPr>
            <w:r w:rsidRPr="136F3BEB">
              <w:rPr>
                <w:rFonts w:ascii="Verdana" w:eastAsia="Times New Roman" w:hAnsi="Verdana" w:cs="Calibri"/>
                <w:sz w:val="22"/>
                <w:szCs w:val="22"/>
              </w:rPr>
              <w:t>Pharmacy Services </w:t>
            </w:r>
          </w:p>
        </w:tc>
        <w:tc>
          <w:tcPr>
            <w:tcW w:w="75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E11CFF" w14:textId="77777777" w:rsidR="136F3BEB" w:rsidRDefault="136F3BEB" w:rsidP="00F8351F">
            <w:pPr>
              <w:pStyle w:val="ListParagraph"/>
              <w:numPr>
                <w:ilvl w:val="0"/>
                <w:numId w:val="26"/>
              </w:numPr>
              <w:spacing w:before="0" w:after="0" w:line="240" w:lineRule="auto"/>
              <w:jc w:val="both"/>
              <w:rPr>
                <w:rFonts w:ascii="Verdana" w:eastAsia="Times New Roman" w:hAnsi="Verdana" w:cs="Calibri"/>
                <w:sz w:val="22"/>
                <w:szCs w:val="22"/>
              </w:rPr>
            </w:pPr>
            <w:r w:rsidRPr="136F3BEB">
              <w:rPr>
                <w:rFonts w:ascii="Verdana" w:eastAsia="Times New Roman" w:hAnsi="Verdana" w:cs="Calibri"/>
                <w:color w:val="000000" w:themeColor="text1"/>
                <w:sz w:val="22"/>
                <w:szCs w:val="22"/>
              </w:rPr>
              <w:t>Review of chlamydia treatment patient pathway for duplication of consultations and payment tariff for pharmacies.  </w:t>
            </w:r>
          </w:p>
          <w:p w14:paraId="60222000" w14:textId="77777777" w:rsidR="136F3BEB" w:rsidRDefault="136F3BEB" w:rsidP="00F8351F">
            <w:pPr>
              <w:pStyle w:val="ListParagraph"/>
              <w:numPr>
                <w:ilvl w:val="0"/>
                <w:numId w:val="26"/>
              </w:numPr>
              <w:spacing w:before="0" w:after="0" w:line="240" w:lineRule="auto"/>
              <w:jc w:val="both"/>
              <w:rPr>
                <w:rFonts w:ascii="Verdana" w:eastAsia="Times New Roman" w:hAnsi="Verdana" w:cs="Calibri"/>
                <w:sz w:val="22"/>
                <w:szCs w:val="22"/>
              </w:rPr>
            </w:pPr>
            <w:r w:rsidRPr="136F3BEB">
              <w:rPr>
                <w:rFonts w:ascii="Verdana" w:eastAsia="Times New Roman" w:hAnsi="Verdana" w:cs="Calibri"/>
                <w:color w:val="000000" w:themeColor="text1"/>
                <w:sz w:val="22"/>
                <w:szCs w:val="22"/>
              </w:rPr>
              <w:t>Review of the data submitted for chlamydia treatments, given the low number of prescriptions issue compared to the number of positive tests. </w:t>
            </w:r>
          </w:p>
          <w:p w14:paraId="18329724" w14:textId="77777777" w:rsidR="136F3BEB" w:rsidRDefault="136F3BEB" w:rsidP="00F8351F">
            <w:pPr>
              <w:pStyle w:val="ListParagraph"/>
              <w:numPr>
                <w:ilvl w:val="0"/>
                <w:numId w:val="26"/>
              </w:numPr>
              <w:spacing w:before="0" w:after="0" w:line="240" w:lineRule="auto"/>
              <w:jc w:val="both"/>
              <w:rPr>
                <w:rFonts w:ascii="Verdana" w:eastAsia="Times New Roman" w:hAnsi="Verdana" w:cs="Calibri"/>
                <w:sz w:val="22"/>
                <w:szCs w:val="22"/>
              </w:rPr>
            </w:pPr>
            <w:r w:rsidRPr="136F3BEB">
              <w:rPr>
                <w:rFonts w:ascii="Verdana" w:eastAsia="Times New Roman" w:hAnsi="Verdana" w:cs="Calibri"/>
                <w:color w:val="000000" w:themeColor="text1"/>
                <w:sz w:val="22"/>
                <w:szCs w:val="22"/>
              </w:rPr>
              <w:t xml:space="preserve">Review the location of pharmacies offering the service to establish if there is an inequity in coverage of pharmacies across the county. </w:t>
            </w:r>
          </w:p>
          <w:p w14:paraId="67DCEC35" w14:textId="77777777" w:rsidR="136F3BEB" w:rsidRDefault="136F3BEB" w:rsidP="00F8351F">
            <w:pPr>
              <w:pStyle w:val="ListParagraph"/>
              <w:numPr>
                <w:ilvl w:val="0"/>
                <w:numId w:val="26"/>
              </w:numPr>
              <w:spacing w:before="0" w:after="0" w:line="240" w:lineRule="auto"/>
              <w:jc w:val="both"/>
              <w:rPr>
                <w:rFonts w:ascii="Verdana" w:eastAsia="Times New Roman" w:hAnsi="Verdana" w:cs="Calibri"/>
                <w:sz w:val="22"/>
                <w:szCs w:val="22"/>
              </w:rPr>
            </w:pPr>
            <w:r w:rsidRPr="136F3BEB">
              <w:rPr>
                <w:rFonts w:ascii="Verdana" w:eastAsia="Times New Roman" w:hAnsi="Verdana" w:cs="Calibri"/>
                <w:color w:val="000000" w:themeColor="text1"/>
                <w:sz w:val="22"/>
                <w:szCs w:val="22"/>
              </w:rPr>
              <w:lastRenderedPageBreak/>
              <w:t>Insights data to understand awareness of pharmacy sexual health service.</w:t>
            </w:r>
          </w:p>
        </w:tc>
      </w:tr>
      <w:tr w:rsidR="136F3BEB" w14:paraId="5738C797" w14:textId="77777777" w:rsidTr="136F3BEB">
        <w:trPr>
          <w:trHeight w:val="300"/>
        </w:trPr>
        <w:tc>
          <w:tcPr>
            <w:tcW w:w="168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1D1415" w14:textId="77777777" w:rsidR="136F3BEB" w:rsidRDefault="136F3BEB" w:rsidP="136F3BEB">
            <w:pPr>
              <w:spacing w:before="0" w:after="0" w:line="240" w:lineRule="auto"/>
              <w:rPr>
                <w:rFonts w:ascii="Verdana" w:eastAsia="Times New Roman" w:hAnsi="Verdana" w:cs="Times New Roman"/>
              </w:rPr>
            </w:pPr>
            <w:r w:rsidRPr="136F3BEB">
              <w:rPr>
                <w:rFonts w:ascii="Verdana" w:eastAsia="Times New Roman" w:hAnsi="Verdana" w:cs="Calibri"/>
                <w:sz w:val="22"/>
                <w:szCs w:val="22"/>
              </w:rPr>
              <w:lastRenderedPageBreak/>
              <w:t>Get It Condom Programme </w:t>
            </w:r>
          </w:p>
        </w:tc>
        <w:tc>
          <w:tcPr>
            <w:tcW w:w="75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E983981" w14:textId="77777777" w:rsidR="136F3BEB" w:rsidRDefault="136F3BEB" w:rsidP="00F8351F">
            <w:pPr>
              <w:pStyle w:val="ListParagraph"/>
              <w:numPr>
                <w:ilvl w:val="0"/>
                <w:numId w:val="27"/>
              </w:numPr>
              <w:spacing w:before="0" w:after="0" w:line="240" w:lineRule="auto"/>
              <w:jc w:val="both"/>
              <w:rPr>
                <w:rFonts w:ascii="Verdana" w:eastAsia="Times New Roman" w:hAnsi="Verdana" w:cs="Calibri"/>
                <w:sz w:val="22"/>
                <w:szCs w:val="22"/>
              </w:rPr>
            </w:pPr>
            <w:r w:rsidRPr="136F3BEB">
              <w:rPr>
                <w:rFonts w:ascii="Verdana" w:eastAsia="Times New Roman" w:hAnsi="Verdana" w:cs="Calibri"/>
                <w:color w:val="000000" w:themeColor="text1"/>
                <w:sz w:val="22"/>
                <w:szCs w:val="22"/>
              </w:rPr>
              <w:t>Review outreach in order to optimise utilisation for population need alongside system thinking approach. There is an overlap with the outreach service in ISH, and it isn’t clear what impact outreach are having on sexual health.  </w:t>
            </w:r>
          </w:p>
          <w:p w14:paraId="50E2D577" w14:textId="77777777" w:rsidR="136F3BEB" w:rsidRDefault="136F3BEB" w:rsidP="00F8351F">
            <w:pPr>
              <w:pStyle w:val="ListParagraph"/>
              <w:numPr>
                <w:ilvl w:val="0"/>
                <w:numId w:val="27"/>
              </w:numPr>
              <w:spacing w:before="0" w:after="0" w:line="240" w:lineRule="auto"/>
              <w:jc w:val="both"/>
              <w:rPr>
                <w:rFonts w:ascii="Verdana" w:eastAsia="Times New Roman" w:hAnsi="Verdana" w:cs="Calibri"/>
                <w:sz w:val="22"/>
                <w:szCs w:val="22"/>
              </w:rPr>
            </w:pPr>
            <w:r w:rsidRPr="136F3BEB">
              <w:rPr>
                <w:rFonts w:ascii="Verdana" w:eastAsia="Times New Roman" w:hAnsi="Verdana" w:cs="Calibri"/>
                <w:color w:val="000000" w:themeColor="text1"/>
                <w:sz w:val="22"/>
                <w:szCs w:val="22"/>
              </w:rPr>
              <w:t>Consider whether condom distribution could be provided by other online services such as the online STI testing service.</w:t>
            </w:r>
          </w:p>
          <w:p w14:paraId="29241AA3" w14:textId="77777777" w:rsidR="136F3BEB" w:rsidRDefault="136F3BEB" w:rsidP="00F8351F">
            <w:pPr>
              <w:pStyle w:val="ListParagraph"/>
              <w:numPr>
                <w:ilvl w:val="0"/>
                <w:numId w:val="27"/>
              </w:numPr>
              <w:spacing w:before="0" w:after="0" w:line="240" w:lineRule="auto"/>
              <w:jc w:val="both"/>
              <w:rPr>
                <w:rFonts w:ascii="Verdana" w:eastAsia="Times New Roman" w:hAnsi="Verdana" w:cs="Calibri"/>
                <w:sz w:val="22"/>
                <w:szCs w:val="22"/>
              </w:rPr>
            </w:pPr>
            <w:r w:rsidRPr="136F3BEB">
              <w:rPr>
                <w:rFonts w:ascii="Verdana" w:eastAsia="Times New Roman" w:hAnsi="Verdana" w:cs="Calibri"/>
                <w:color w:val="000000" w:themeColor="text1"/>
                <w:sz w:val="22"/>
                <w:szCs w:val="22"/>
              </w:rPr>
              <w:t>Consider extension of free condoms to other groups, not just young people, given the rise in STIs.</w:t>
            </w:r>
          </w:p>
          <w:p w14:paraId="691EA1F9" w14:textId="77777777" w:rsidR="136F3BEB" w:rsidRDefault="136F3BEB" w:rsidP="00F8351F">
            <w:pPr>
              <w:pStyle w:val="ListParagraph"/>
              <w:numPr>
                <w:ilvl w:val="0"/>
                <w:numId w:val="27"/>
              </w:numPr>
              <w:spacing w:before="0" w:after="0" w:line="240" w:lineRule="auto"/>
              <w:jc w:val="both"/>
              <w:rPr>
                <w:rFonts w:ascii="Verdana" w:eastAsia="Times New Roman" w:hAnsi="Verdana" w:cs="Calibri"/>
                <w:sz w:val="22"/>
                <w:szCs w:val="22"/>
              </w:rPr>
            </w:pPr>
            <w:r w:rsidRPr="136F3BEB">
              <w:rPr>
                <w:rFonts w:ascii="Verdana" w:eastAsia="Times New Roman" w:hAnsi="Verdana" w:cs="Calibri"/>
                <w:sz w:val="22"/>
                <w:szCs w:val="22"/>
              </w:rPr>
              <w:t>The results of the Young People’s sexual health attitudes survey are analysed and used to inform progressions in the service offer. </w:t>
            </w:r>
          </w:p>
        </w:tc>
      </w:tr>
      <w:tr w:rsidR="136F3BEB" w14:paraId="65ED67F9" w14:textId="77777777" w:rsidTr="136F3BEB">
        <w:trPr>
          <w:trHeight w:val="300"/>
        </w:trPr>
        <w:tc>
          <w:tcPr>
            <w:tcW w:w="168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84DC88B" w14:textId="77777777" w:rsidR="136F3BEB" w:rsidRDefault="136F3BEB" w:rsidP="136F3BEB">
            <w:pPr>
              <w:spacing w:before="0" w:after="0" w:line="240" w:lineRule="auto"/>
              <w:jc w:val="both"/>
              <w:rPr>
                <w:rFonts w:ascii="Verdana" w:eastAsia="Times New Roman" w:hAnsi="Verdana" w:cs="Times New Roman"/>
              </w:rPr>
            </w:pPr>
            <w:r w:rsidRPr="136F3BEB">
              <w:rPr>
                <w:rFonts w:ascii="Verdana" w:eastAsia="Times New Roman" w:hAnsi="Verdana" w:cs="Calibri"/>
                <w:sz w:val="22"/>
                <w:szCs w:val="22"/>
              </w:rPr>
              <w:t>LARC </w:t>
            </w:r>
          </w:p>
        </w:tc>
        <w:tc>
          <w:tcPr>
            <w:tcW w:w="75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134A6D" w14:textId="77777777" w:rsidR="136F3BEB" w:rsidRDefault="136F3BEB" w:rsidP="00F8351F">
            <w:pPr>
              <w:pStyle w:val="ListParagraph"/>
              <w:numPr>
                <w:ilvl w:val="0"/>
                <w:numId w:val="28"/>
              </w:numPr>
              <w:spacing w:before="0" w:after="0" w:line="240" w:lineRule="auto"/>
              <w:jc w:val="both"/>
              <w:rPr>
                <w:rFonts w:ascii="Verdana" w:eastAsia="Times New Roman" w:hAnsi="Verdana" w:cs="Calibri"/>
                <w:sz w:val="22"/>
                <w:szCs w:val="22"/>
              </w:rPr>
            </w:pPr>
            <w:r w:rsidRPr="136F3BEB">
              <w:rPr>
                <w:rFonts w:ascii="Verdana" w:eastAsia="Times New Roman" w:hAnsi="Verdana" w:cs="Calibri"/>
                <w:color w:val="000000" w:themeColor="text1"/>
                <w:sz w:val="22"/>
                <w:szCs w:val="22"/>
              </w:rPr>
              <w:t>Currently two commissioners for contraception and ICB for IUS devices for women – opportunity to align and streamline the contract management function.  </w:t>
            </w:r>
          </w:p>
          <w:p w14:paraId="4E1AE77A" w14:textId="77777777" w:rsidR="136F3BEB" w:rsidRDefault="136F3BEB" w:rsidP="00F8351F">
            <w:pPr>
              <w:pStyle w:val="ListParagraph"/>
              <w:numPr>
                <w:ilvl w:val="0"/>
                <w:numId w:val="28"/>
              </w:numPr>
              <w:spacing w:before="0" w:after="0" w:line="240" w:lineRule="auto"/>
              <w:jc w:val="both"/>
              <w:rPr>
                <w:rFonts w:ascii="Verdana" w:eastAsia="Times New Roman" w:hAnsi="Verdana" w:cs="Calibri"/>
                <w:sz w:val="22"/>
                <w:szCs w:val="22"/>
              </w:rPr>
            </w:pPr>
            <w:r w:rsidRPr="136F3BEB">
              <w:rPr>
                <w:rFonts w:ascii="Verdana" w:eastAsia="Times New Roman" w:hAnsi="Verdana" w:cs="Calibri"/>
                <w:color w:val="000000" w:themeColor="text1"/>
                <w:sz w:val="22"/>
                <w:szCs w:val="22"/>
              </w:rPr>
              <w:t>Clarity and action needed to ensure that appropriate coding is used when submitting claims for LARC procedures to KCC and the ICB.</w:t>
            </w:r>
          </w:p>
          <w:p w14:paraId="792F0FC7" w14:textId="77777777" w:rsidR="136F3BEB" w:rsidRDefault="136F3BEB" w:rsidP="00F8351F">
            <w:pPr>
              <w:pStyle w:val="ListParagraph"/>
              <w:numPr>
                <w:ilvl w:val="0"/>
                <w:numId w:val="28"/>
              </w:numPr>
              <w:spacing w:before="0" w:after="0" w:line="240" w:lineRule="auto"/>
              <w:jc w:val="both"/>
              <w:rPr>
                <w:rFonts w:ascii="Verdana" w:eastAsia="Times New Roman" w:hAnsi="Verdana" w:cs="Calibri"/>
                <w:sz w:val="22"/>
                <w:szCs w:val="22"/>
              </w:rPr>
            </w:pPr>
            <w:r w:rsidRPr="136F3BEB">
              <w:rPr>
                <w:rFonts w:ascii="Verdana" w:eastAsia="Times New Roman" w:hAnsi="Verdana" w:cs="Calibri"/>
                <w:sz w:val="22"/>
                <w:szCs w:val="22"/>
              </w:rPr>
              <w:t>Monitoring of impact of the implementation of Women’s Health hubs and ensure a system approach is applied where possible.</w:t>
            </w:r>
          </w:p>
          <w:p w14:paraId="1D7D4B0B" w14:textId="77777777" w:rsidR="136F3BEB" w:rsidRDefault="136F3BEB" w:rsidP="00F8351F">
            <w:pPr>
              <w:pStyle w:val="ListParagraph"/>
              <w:numPr>
                <w:ilvl w:val="0"/>
                <w:numId w:val="28"/>
              </w:numPr>
              <w:spacing w:before="0" w:after="0" w:line="240" w:lineRule="auto"/>
              <w:jc w:val="both"/>
              <w:rPr>
                <w:rFonts w:ascii="Verdana" w:eastAsia="Times New Roman" w:hAnsi="Verdana" w:cs="Calibri"/>
                <w:sz w:val="22"/>
                <w:szCs w:val="22"/>
              </w:rPr>
            </w:pPr>
            <w:r w:rsidRPr="136F3BEB">
              <w:rPr>
                <w:rFonts w:ascii="Verdana" w:eastAsia="Times New Roman" w:hAnsi="Verdana" w:cs="Calibri"/>
                <w:color w:val="000000" w:themeColor="text1"/>
                <w:sz w:val="22"/>
                <w:szCs w:val="22"/>
              </w:rPr>
              <w:t>Patient insights – to understand why use of LARC is declining and if there are issues with access to the service, or a shift in sexual health attitudes including use of fem-tech and fertility awareness methods.</w:t>
            </w:r>
          </w:p>
          <w:p w14:paraId="6AB4A150" w14:textId="77777777" w:rsidR="136F3BEB" w:rsidRDefault="136F3BEB" w:rsidP="00F8351F">
            <w:pPr>
              <w:pStyle w:val="ListParagraph"/>
              <w:numPr>
                <w:ilvl w:val="0"/>
                <w:numId w:val="28"/>
              </w:numPr>
              <w:spacing w:before="0" w:after="0" w:line="240" w:lineRule="auto"/>
              <w:jc w:val="both"/>
              <w:rPr>
                <w:rFonts w:ascii="Verdana" w:eastAsia="Times New Roman" w:hAnsi="Verdana" w:cs="Calibri"/>
                <w:sz w:val="22"/>
                <w:szCs w:val="22"/>
              </w:rPr>
            </w:pPr>
            <w:r w:rsidRPr="136F3BEB">
              <w:rPr>
                <w:rFonts w:ascii="Verdana" w:eastAsia="Times New Roman" w:hAnsi="Verdana" w:cs="Calibri"/>
                <w:sz w:val="22"/>
                <w:szCs w:val="22"/>
              </w:rPr>
              <w:t>Patient insights into ease of access alongside further analysis of the map of LARC providing GPs in the county to explore areas of low or distant access. </w:t>
            </w:r>
          </w:p>
          <w:p w14:paraId="2E9D5C5F" w14:textId="77777777" w:rsidR="136F3BEB" w:rsidRDefault="136F3BEB" w:rsidP="00F8351F">
            <w:pPr>
              <w:pStyle w:val="ListParagraph"/>
              <w:numPr>
                <w:ilvl w:val="0"/>
                <w:numId w:val="28"/>
              </w:numPr>
              <w:spacing w:before="0" w:after="0" w:line="240" w:lineRule="auto"/>
              <w:jc w:val="both"/>
              <w:rPr>
                <w:rFonts w:ascii="Verdana" w:eastAsia="Times New Roman" w:hAnsi="Verdana" w:cs="Calibri"/>
                <w:sz w:val="22"/>
                <w:szCs w:val="22"/>
              </w:rPr>
            </w:pPr>
            <w:r w:rsidRPr="136F3BEB">
              <w:rPr>
                <w:rFonts w:ascii="Verdana" w:eastAsia="Times New Roman" w:hAnsi="Verdana" w:cs="Calibri"/>
                <w:sz w:val="22"/>
                <w:szCs w:val="22"/>
              </w:rPr>
              <w:t>Deep dive review of LARC to be completed including, exploration of reduction in GP Practices offering LARC services, workforce development and training, and cost modelling.</w:t>
            </w:r>
          </w:p>
        </w:tc>
      </w:tr>
      <w:tr w:rsidR="136F3BEB" w14:paraId="31C5CE4A" w14:textId="77777777" w:rsidTr="136F3BEB">
        <w:trPr>
          <w:trHeight w:val="300"/>
        </w:trPr>
        <w:tc>
          <w:tcPr>
            <w:tcW w:w="168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FBAB5E3" w14:textId="77777777" w:rsidR="136F3BEB" w:rsidRDefault="136F3BEB" w:rsidP="136F3BEB">
            <w:pPr>
              <w:spacing w:before="0" w:after="0" w:line="240" w:lineRule="auto"/>
              <w:rPr>
                <w:rFonts w:ascii="Verdana" w:eastAsia="Times New Roman" w:hAnsi="Verdana" w:cs="Times New Roman"/>
              </w:rPr>
            </w:pPr>
            <w:r w:rsidRPr="136F3BEB">
              <w:rPr>
                <w:rFonts w:ascii="Verdana" w:eastAsia="Times New Roman" w:hAnsi="Verdana" w:cs="Calibri"/>
                <w:sz w:val="22"/>
                <w:szCs w:val="22"/>
              </w:rPr>
              <w:t>Out of Area </w:t>
            </w:r>
          </w:p>
        </w:tc>
        <w:tc>
          <w:tcPr>
            <w:tcW w:w="75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8E0BE07" w14:textId="77777777" w:rsidR="136F3BEB" w:rsidRDefault="136F3BEB" w:rsidP="00F8351F">
            <w:pPr>
              <w:pStyle w:val="ListParagraph"/>
              <w:numPr>
                <w:ilvl w:val="0"/>
                <w:numId w:val="29"/>
              </w:numPr>
              <w:spacing w:before="0" w:after="0" w:line="240" w:lineRule="auto"/>
              <w:rPr>
                <w:rFonts w:ascii="Verdana" w:eastAsia="Times New Roman" w:hAnsi="Verdana" w:cs="Calibri"/>
                <w:sz w:val="22"/>
                <w:szCs w:val="22"/>
              </w:rPr>
            </w:pPr>
            <w:r w:rsidRPr="136F3BEB">
              <w:rPr>
                <w:rFonts w:ascii="Verdana" w:eastAsia="Times New Roman" w:hAnsi="Verdana" w:cs="Calibri"/>
                <w:color w:val="000000" w:themeColor="text1"/>
                <w:sz w:val="22"/>
                <w:szCs w:val="22"/>
              </w:rPr>
              <w:t>Review of budget and spend for out of area services.</w:t>
            </w:r>
          </w:p>
          <w:p w14:paraId="00E6CFFD" w14:textId="77777777" w:rsidR="136F3BEB" w:rsidRDefault="136F3BEB" w:rsidP="00F8351F">
            <w:pPr>
              <w:pStyle w:val="ListParagraph"/>
              <w:numPr>
                <w:ilvl w:val="0"/>
                <w:numId w:val="29"/>
              </w:numPr>
              <w:spacing w:before="0" w:after="0" w:line="240" w:lineRule="auto"/>
              <w:rPr>
                <w:rFonts w:ascii="Verdana" w:eastAsia="Times New Roman" w:hAnsi="Verdana" w:cs="Calibri"/>
                <w:sz w:val="22"/>
                <w:szCs w:val="22"/>
              </w:rPr>
            </w:pPr>
            <w:r w:rsidRPr="136F3BEB">
              <w:rPr>
                <w:rFonts w:ascii="Verdana" w:hAnsi="Verdana"/>
                <w:sz w:val="22"/>
                <w:szCs w:val="22"/>
              </w:rPr>
              <w:t>Review of the use of sexual health services out of area by Kent residents, along with understanding use of Kent services by out of area residents. This is to identify why people may access services out of area and what measures can be put in place to reduce this.</w:t>
            </w:r>
            <w:r w:rsidRPr="136F3BEB">
              <w:rPr>
                <w:rFonts w:ascii="Verdana" w:eastAsia="Times New Roman" w:hAnsi="Verdana" w:cs="Calibri"/>
                <w:color w:val="000000" w:themeColor="text1"/>
                <w:sz w:val="22"/>
                <w:szCs w:val="22"/>
              </w:rPr>
              <w:t> </w:t>
            </w:r>
          </w:p>
        </w:tc>
      </w:tr>
    </w:tbl>
    <w:p w14:paraId="0C87BB43" w14:textId="77777777" w:rsidR="009F2C10" w:rsidRPr="008D6AC4" w:rsidRDefault="009F2C10" w:rsidP="136F3BEB">
      <w:pPr>
        <w:spacing w:after="0"/>
        <w:rPr>
          <w:rFonts w:ascii="Verdana" w:hAnsi="Verdana"/>
          <w:sz w:val="22"/>
          <w:szCs w:val="22"/>
        </w:rPr>
      </w:pPr>
    </w:p>
    <w:p w14:paraId="4E27B82B" w14:textId="77777777" w:rsidR="009F2C10" w:rsidRPr="008D6AC4" w:rsidRDefault="544F2D84" w:rsidP="136F3BEB">
      <w:pPr>
        <w:spacing w:before="0" w:after="200"/>
        <w:rPr>
          <w:rFonts w:ascii="Verdana" w:hAnsi="Verdana"/>
          <w:b/>
          <w:bCs/>
          <w:color w:val="2D7C82"/>
          <w:sz w:val="28"/>
          <w:szCs w:val="28"/>
        </w:rPr>
      </w:pPr>
      <w:r w:rsidRPr="136F3BEB">
        <w:rPr>
          <w:rFonts w:ascii="Verdana" w:hAnsi="Verdana"/>
          <w:b/>
          <w:bCs/>
          <w:color w:val="2D7C82"/>
          <w:sz w:val="28"/>
          <w:szCs w:val="28"/>
        </w:rPr>
        <w:t xml:space="preserve">12. </w:t>
      </w:r>
      <w:r w:rsidR="535D2091" w:rsidRPr="136F3BEB">
        <w:rPr>
          <w:rFonts w:ascii="Verdana" w:hAnsi="Verdana"/>
          <w:b/>
          <w:bCs/>
          <w:color w:val="2D7C82"/>
          <w:sz w:val="28"/>
          <w:szCs w:val="28"/>
        </w:rPr>
        <w:t>Conclusion</w:t>
      </w:r>
    </w:p>
    <w:p w14:paraId="64D11C01" w14:textId="77777777" w:rsidR="1BD4AB5C" w:rsidRPr="008D6AC4" w:rsidRDefault="1BD4AB5C" w:rsidP="49636075">
      <w:pPr>
        <w:jc w:val="both"/>
        <w:rPr>
          <w:rFonts w:ascii="Verdana" w:eastAsia="Verdana" w:hAnsi="Verdana" w:cs="Verdana"/>
          <w:sz w:val="22"/>
          <w:szCs w:val="22"/>
        </w:rPr>
      </w:pPr>
      <w:r w:rsidRPr="008D6AC4">
        <w:rPr>
          <w:rFonts w:ascii="Verdana" w:eastAsia="Verdana" w:hAnsi="Verdana" w:cs="Verdana"/>
          <w:sz w:val="22"/>
          <w:szCs w:val="22"/>
        </w:rPr>
        <w:t xml:space="preserve">This Sexual Health Needs Assessment has explored, reviewed, and set out </w:t>
      </w:r>
      <w:r w:rsidR="3CE9AD62" w:rsidRPr="008D6AC4">
        <w:rPr>
          <w:rFonts w:ascii="Verdana" w:eastAsia="Verdana" w:hAnsi="Verdana" w:cs="Verdana"/>
          <w:sz w:val="22"/>
          <w:szCs w:val="22"/>
        </w:rPr>
        <w:t xml:space="preserve">the landscape of Kent’s sexual health needs post pandemic. </w:t>
      </w:r>
      <w:r w:rsidRPr="008D6AC4">
        <w:rPr>
          <w:rFonts w:ascii="Verdana" w:eastAsia="Verdana" w:hAnsi="Verdana" w:cs="Verdana"/>
          <w:sz w:val="22"/>
          <w:szCs w:val="22"/>
        </w:rPr>
        <w:t xml:space="preserve"> </w:t>
      </w:r>
      <w:r w:rsidR="1C5B3822" w:rsidRPr="008D6AC4">
        <w:rPr>
          <w:rFonts w:ascii="Verdana" w:eastAsia="Verdana" w:hAnsi="Verdana" w:cs="Verdana"/>
          <w:sz w:val="22"/>
          <w:szCs w:val="22"/>
        </w:rPr>
        <w:t>It has examined updates to the context surrounding and including sexual health</w:t>
      </w:r>
      <w:r w:rsidR="0175B091" w:rsidRPr="008D6AC4">
        <w:rPr>
          <w:rFonts w:ascii="Verdana" w:eastAsia="Verdana" w:hAnsi="Verdana" w:cs="Verdana"/>
          <w:sz w:val="22"/>
          <w:szCs w:val="22"/>
        </w:rPr>
        <w:t xml:space="preserve">, analysed the latest data and available insights, reviewed current service provision, and </w:t>
      </w:r>
      <w:r w:rsidR="315F3BD4" w:rsidRPr="008D6AC4">
        <w:rPr>
          <w:rFonts w:ascii="Verdana" w:eastAsia="Verdana" w:hAnsi="Verdana" w:cs="Verdana"/>
          <w:sz w:val="22"/>
          <w:szCs w:val="22"/>
        </w:rPr>
        <w:t>explored examples from other councils.</w:t>
      </w:r>
      <w:r w:rsidR="290682E5" w:rsidRPr="008D6AC4">
        <w:rPr>
          <w:rFonts w:ascii="Verdana" w:eastAsia="Verdana" w:hAnsi="Verdana" w:cs="Verdana"/>
          <w:sz w:val="22"/>
          <w:szCs w:val="22"/>
        </w:rPr>
        <w:t xml:space="preserve"> Groups of Kent’s population have been highlighted to ensure that the correct emphasis is placed on the focus and support for those groups to tackle health inequalities.</w:t>
      </w:r>
      <w:r w:rsidR="315F3BD4" w:rsidRPr="008D6AC4">
        <w:rPr>
          <w:rFonts w:ascii="Verdana" w:eastAsia="Verdana" w:hAnsi="Verdana" w:cs="Verdana"/>
          <w:sz w:val="22"/>
          <w:szCs w:val="22"/>
        </w:rPr>
        <w:t xml:space="preserve"> Recommendations have </w:t>
      </w:r>
      <w:r w:rsidR="315F3BD4" w:rsidRPr="008D6AC4">
        <w:rPr>
          <w:rFonts w:ascii="Verdana" w:eastAsia="Verdana" w:hAnsi="Verdana" w:cs="Verdana"/>
          <w:sz w:val="22"/>
          <w:szCs w:val="22"/>
        </w:rPr>
        <w:lastRenderedPageBreak/>
        <w:t>been made throughout as a call to action for local stakeholders</w:t>
      </w:r>
      <w:r w:rsidR="350769A8" w:rsidRPr="008D6AC4">
        <w:rPr>
          <w:rFonts w:ascii="Verdana" w:eastAsia="Verdana" w:hAnsi="Verdana" w:cs="Verdana"/>
          <w:sz w:val="22"/>
          <w:szCs w:val="22"/>
        </w:rPr>
        <w:t xml:space="preserve"> to propel Kent’s sexual health improvements. </w:t>
      </w:r>
    </w:p>
    <w:p w14:paraId="452C345F" w14:textId="77777777" w:rsidR="4F9B76CB" w:rsidRPr="008D6AC4" w:rsidRDefault="2C220538" w:rsidP="49636075">
      <w:pPr>
        <w:jc w:val="both"/>
        <w:rPr>
          <w:rFonts w:ascii="Verdana" w:eastAsia="Verdana" w:hAnsi="Verdana" w:cs="Verdana"/>
          <w:sz w:val="22"/>
          <w:szCs w:val="22"/>
        </w:rPr>
      </w:pPr>
      <w:r w:rsidRPr="008D6AC4">
        <w:rPr>
          <w:rFonts w:ascii="Verdana" w:eastAsia="Verdana" w:hAnsi="Verdana" w:cs="Verdana"/>
          <w:sz w:val="22"/>
          <w:szCs w:val="22"/>
        </w:rPr>
        <w:t xml:space="preserve">We know now from this </w:t>
      </w:r>
      <w:r w:rsidR="4F2728FB" w:rsidRPr="008D6AC4">
        <w:rPr>
          <w:rFonts w:ascii="Verdana" w:eastAsia="Verdana" w:hAnsi="Verdana" w:cs="Verdana"/>
          <w:sz w:val="22"/>
          <w:szCs w:val="22"/>
        </w:rPr>
        <w:t>assessment</w:t>
      </w:r>
      <w:r w:rsidRPr="008D6AC4">
        <w:rPr>
          <w:rFonts w:ascii="Verdana" w:eastAsia="Verdana" w:hAnsi="Verdana" w:cs="Verdana"/>
          <w:sz w:val="22"/>
          <w:szCs w:val="22"/>
        </w:rPr>
        <w:t xml:space="preserve"> that STI rates are increasing</w:t>
      </w:r>
      <w:r w:rsidR="357DB2B3" w:rsidRPr="008D6AC4">
        <w:rPr>
          <w:rFonts w:ascii="Verdana" w:eastAsia="Verdana" w:hAnsi="Verdana" w:cs="Verdana"/>
          <w:sz w:val="22"/>
          <w:szCs w:val="22"/>
        </w:rPr>
        <w:t>. Testing rates have risen across Kent in line with the diagnosis rates which means that we are finding, and therefore able to treat</w:t>
      </w:r>
      <w:r w:rsidR="5A78CD1A" w:rsidRPr="008D6AC4">
        <w:rPr>
          <w:rFonts w:ascii="Verdana" w:eastAsia="Verdana" w:hAnsi="Verdana" w:cs="Verdana"/>
          <w:sz w:val="22"/>
          <w:szCs w:val="22"/>
        </w:rPr>
        <w:t>,</w:t>
      </w:r>
      <w:r w:rsidR="357DB2B3" w:rsidRPr="008D6AC4">
        <w:rPr>
          <w:rFonts w:ascii="Verdana" w:eastAsia="Verdana" w:hAnsi="Verdana" w:cs="Verdana"/>
          <w:sz w:val="22"/>
          <w:szCs w:val="22"/>
        </w:rPr>
        <w:t xml:space="preserve"> more infections in Kent. </w:t>
      </w:r>
      <w:r w:rsidR="00F843B3" w:rsidRPr="008D6AC4">
        <w:rPr>
          <w:rFonts w:ascii="Verdana" w:eastAsia="Verdana" w:hAnsi="Verdana" w:cs="Verdana"/>
          <w:sz w:val="22"/>
          <w:szCs w:val="22"/>
        </w:rPr>
        <w:t xml:space="preserve">But rates remain below our target levels. </w:t>
      </w:r>
      <w:r w:rsidR="357DB2B3" w:rsidRPr="008D6AC4">
        <w:rPr>
          <w:rFonts w:ascii="Verdana" w:eastAsia="Verdana" w:hAnsi="Verdana" w:cs="Verdana"/>
          <w:sz w:val="22"/>
          <w:szCs w:val="22"/>
        </w:rPr>
        <w:t xml:space="preserve">The analysis has shown that </w:t>
      </w:r>
      <w:r w:rsidR="6A77D534" w:rsidRPr="008D6AC4">
        <w:rPr>
          <w:rFonts w:ascii="Verdana" w:eastAsia="Verdana" w:hAnsi="Verdana" w:cs="Verdana"/>
          <w:sz w:val="22"/>
          <w:szCs w:val="22"/>
        </w:rPr>
        <w:t>there are areas of geographic concern, for example Dartford</w:t>
      </w:r>
      <w:r w:rsidR="75F84828" w:rsidRPr="008D6AC4">
        <w:rPr>
          <w:rFonts w:ascii="Verdana" w:eastAsia="Verdana" w:hAnsi="Verdana" w:cs="Verdana"/>
          <w:sz w:val="22"/>
          <w:szCs w:val="22"/>
        </w:rPr>
        <w:t>,</w:t>
      </w:r>
      <w:r w:rsidR="6A77D534" w:rsidRPr="008D6AC4">
        <w:rPr>
          <w:rFonts w:ascii="Verdana" w:eastAsia="Verdana" w:hAnsi="Verdana" w:cs="Verdana"/>
          <w:sz w:val="22"/>
          <w:szCs w:val="22"/>
        </w:rPr>
        <w:t xml:space="preserve"> due to the higher positivity rates</w:t>
      </w:r>
      <w:r w:rsidR="0EADBB9C" w:rsidRPr="008D6AC4">
        <w:rPr>
          <w:rFonts w:ascii="Verdana" w:eastAsia="Verdana" w:hAnsi="Verdana" w:cs="Verdana"/>
          <w:sz w:val="22"/>
          <w:szCs w:val="22"/>
        </w:rPr>
        <w:t xml:space="preserve"> and West Kent testing is lower than East Kent areas</w:t>
      </w:r>
      <w:r w:rsidR="6A77D534" w:rsidRPr="008D6AC4">
        <w:rPr>
          <w:rFonts w:ascii="Verdana" w:eastAsia="Verdana" w:hAnsi="Verdana" w:cs="Verdana"/>
          <w:sz w:val="22"/>
          <w:szCs w:val="22"/>
        </w:rPr>
        <w:t xml:space="preserve">. </w:t>
      </w:r>
      <w:r w:rsidR="72F8290C" w:rsidRPr="008D6AC4">
        <w:rPr>
          <w:rFonts w:ascii="Verdana" w:eastAsia="Verdana" w:hAnsi="Verdana" w:cs="Verdana"/>
          <w:sz w:val="22"/>
          <w:szCs w:val="22"/>
        </w:rPr>
        <w:t xml:space="preserve">Chlamydia testing rates in young women are currently half of the national target, </w:t>
      </w:r>
      <w:r w:rsidR="059479E2" w:rsidRPr="008D6AC4">
        <w:rPr>
          <w:rFonts w:ascii="Verdana" w:eastAsia="Verdana" w:hAnsi="Verdana" w:cs="Verdana"/>
          <w:sz w:val="22"/>
          <w:szCs w:val="22"/>
        </w:rPr>
        <w:t>and</w:t>
      </w:r>
      <w:r w:rsidR="34241D68" w:rsidRPr="008D6AC4">
        <w:rPr>
          <w:rFonts w:ascii="Verdana" w:eastAsia="Verdana" w:hAnsi="Verdana" w:cs="Verdana"/>
          <w:sz w:val="22"/>
          <w:szCs w:val="22"/>
        </w:rPr>
        <w:t xml:space="preserve"> </w:t>
      </w:r>
      <w:r w:rsidR="69790E01" w:rsidRPr="008D6AC4">
        <w:rPr>
          <w:rFonts w:ascii="Verdana" w:eastAsia="Verdana" w:hAnsi="Verdana" w:cs="Verdana"/>
          <w:sz w:val="22"/>
          <w:szCs w:val="22"/>
        </w:rPr>
        <w:t xml:space="preserve">testing of GBMSM for HIV has fallen by 30%. </w:t>
      </w:r>
      <w:r w:rsidR="68B576A7" w:rsidRPr="008D6AC4">
        <w:rPr>
          <w:rFonts w:ascii="Verdana" w:eastAsia="Verdana" w:hAnsi="Verdana" w:cs="Verdana"/>
          <w:sz w:val="22"/>
          <w:szCs w:val="22"/>
        </w:rPr>
        <w:t xml:space="preserve">Gonorrhoea detection is 53% higher than pre-pandemic levels and overall STI’s </w:t>
      </w:r>
      <w:r w:rsidR="693696C1" w:rsidRPr="008D6AC4">
        <w:rPr>
          <w:rFonts w:ascii="Verdana" w:eastAsia="Verdana" w:hAnsi="Verdana" w:cs="Verdana"/>
          <w:sz w:val="22"/>
          <w:szCs w:val="22"/>
        </w:rPr>
        <w:t>diagnosis has returned to rates seen pre-pandemic</w:t>
      </w:r>
      <w:r w:rsidR="68B576A7" w:rsidRPr="008D6AC4">
        <w:rPr>
          <w:rFonts w:ascii="Verdana" w:eastAsia="Verdana" w:hAnsi="Verdana" w:cs="Verdana"/>
          <w:sz w:val="22"/>
          <w:szCs w:val="22"/>
        </w:rPr>
        <w:t>.</w:t>
      </w:r>
      <w:r w:rsidR="4F9B76CB" w:rsidRPr="008D6AC4">
        <w:rPr>
          <w:rFonts w:ascii="Verdana" w:eastAsia="Verdana" w:hAnsi="Verdana" w:cs="Verdana"/>
          <w:sz w:val="22"/>
          <w:szCs w:val="22"/>
        </w:rPr>
        <w:t xml:space="preserve"> The message is that there needs to be an increase in testing for infections in Kent. In other aspects of sexual health, the use of LARC is decreasing, as is oral contraceptio</w:t>
      </w:r>
      <w:r w:rsidR="48EF4A8B" w:rsidRPr="008D6AC4">
        <w:rPr>
          <w:rFonts w:ascii="Verdana" w:eastAsia="Verdana" w:hAnsi="Verdana" w:cs="Verdana"/>
          <w:sz w:val="22"/>
          <w:szCs w:val="22"/>
        </w:rPr>
        <w:t>n</w:t>
      </w:r>
      <w:r w:rsidR="7AA3564F" w:rsidRPr="008D6AC4">
        <w:rPr>
          <w:rFonts w:ascii="Verdana" w:eastAsia="Verdana" w:hAnsi="Verdana" w:cs="Verdana"/>
          <w:sz w:val="22"/>
          <w:szCs w:val="22"/>
        </w:rPr>
        <w:t>, and abortions are increasing</w:t>
      </w:r>
      <w:r w:rsidR="48EF4A8B" w:rsidRPr="008D6AC4">
        <w:rPr>
          <w:rFonts w:ascii="Verdana" w:eastAsia="Verdana" w:hAnsi="Verdana" w:cs="Verdana"/>
          <w:sz w:val="22"/>
          <w:szCs w:val="22"/>
        </w:rPr>
        <w:t>.</w:t>
      </w:r>
      <w:r w:rsidR="4F9B76CB" w:rsidRPr="008D6AC4">
        <w:rPr>
          <w:rFonts w:ascii="Verdana" w:eastAsia="Verdana" w:hAnsi="Verdana" w:cs="Verdana"/>
          <w:sz w:val="22"/>
          <w:szCs w:val="22"/>
        </w:rPr>
        <w:t xml:space="preserve"> </w:t>
      </w:r>
      <w:r w:rsidR="5299A45E" w:rsidRPr="008D6AC4">
        <w:rPr>
          <w:rFonts w:ascii="Verdana" w:eastAsia="Verdana" w:hAnsi="Verdana" w:cs="Verdana"/>
          <w:sz w:val="22"/>
          <w:szCs w:val="22"/>
        </w:rPr>
        <w:t>Un</w:t>
      </w:r>
      <w:r w:rsidR="44D556D9" w:rsidRPr="008D6AC4">
        <w:rPr>
          <w:rFonts w:ascii="Verdana" w:eastAsia="Verdana" w:hAnsi="Verdana" w:cs="Verdana"/>
          <w:sz w:val="22"/>
          <w:szCs w:val="22"/>
        </w:rPr>
        <w:t xml:space="preserve">der-18 conceptions </w:t>
      </w:r>
      <w:r w:rsidR="6BDDF813" w:rsidRPr="008D6AC4">
        <w:rPr>
          <w:rFonts w:ascii="Verdana" w:eastAsia="Verdana" w:hAnsi="Verdana" w:cs="Verdana"/>
          <w:sz w:val="22"/>
          <w:szCs w:val="22"/>
        </w:rPr>
        <w:t xml:space="preserve">remain </w:t>
      </w:r>
      <w:r w:rsidR="44D556D9" w:rsidRPr="008D6AC4">
        <w:rPr>
          <w:rFonts w:ascii="Verdana" w:eastAsia="Verdana" w:hAnsi="Verdana" w:cs="Verdana"/>
          <w:sz w:val="22"/>
          <w:szCs w:val="22"/>
        </w:rPr>
        <w:t>higher than the England average</w:t>
      </w:r>
      <w:r w:rsidR="2078F522" w:rsidRPr="008D6AC4">
        <w:rPr>
          <w:rFonts w:ascii="Verdana" w:eastAsia="Verdana" w:hAnsi="Verdana" w:cs="Verdana"/>
          <w:sz w:val="22"/>
          <w:szCs w:val="22"/>
        </w:rPr>
        <w:t>, with</w:t>
      </w:r>
      <w:r w:rsidR="44D556D9" w:rsidRPr="008D6AC4">
        <w:rPr>
          <w:rFonts w:ascii="Verdana" w:eastAsia="Verdana" w:hAnsi="Verdana" w:cs="Verdana"/>
          <w:sz w:val="22"/>
          <w:szCs w:val="22"/>
        </w:rPr>
        <w:t xml:space="preserve"> Thanet, Swale and Dover hav</w:t>
      </w:r>
      <w:r w:rsidR="0CE546A3" w:rsidRPr="008D6AC4">
        <w:rPr>
          <w:rFonts w:ascii="Verdana" w:eastAsia="Verdana" w:hAnsi="Verdana" w:cs="Verdana"/>
          <w:sz w:val="22"/>
          <w:szCs w:val="22"/>
        </w:rPr>
        <w:t>ing</w:t>
      </w:r>
      <w:r w:rsidR="44D556D9" w:rsidRPr="008D6AC4">
        <w:rPr>
          <w:rFonts w:ascii="Verdana" w:eastAsia="Verdana" w:hAnsi="Verdana" w:cs="Verdana"/>
          <w:sz w:val="22"/>
          <w:szCs w:val="22"/>
        </w:rPr>
        <w:t xml:space="preserve"> the highest rates.</w:t>
      </w:r>
    </w:p>
    <w:p w14:paraId="4BE1EA77" w14:textId="77777777" w:rsidR="006370CB" w:rsidRDefault="00605318" w:rsidP="49636075">
      <w:pPr>
        <w:jc w:val="both"/>
        <w:rPr>
          <w:rFonts w:ascii="Verdana" w:eastAsia="Verdana" w:hAnsi="Verdana" w:cs="Verdana"/>
          <w:sz w:val="22"/>
          <w:szCs w:val="22"/>
        </w:rPr>
      </w:pPr>
      <w:r w:rsidRPr="008D6AC4">
        <w:rPr>
          <w:rFonts w:ascii="Verdana" w:eastAsia="Verdana" w:hAnsi="Verdana" w:cs="Verdana"/>
          <w:sz w:val="22"/>
          <w:szCs w:val="22"/>
        </w:rPr>
        <w:t xml:space="preserve">Whilst </w:t>
      </w:r>
      <w:r w:rsidR="366D7F7A" w:rsidRPr="008D6AC4">
        <w:rPr>
          <w:rFonts w:ascii="Verdana" w:eastAsia="Verdana" w:hAnsi="Verdana" w:cs="Verdana"/>
          <w:sz w:val="22"/>
          <w:szCs w:val="22"/>
        </w:rPr>
        <w:t xml:space="preserve">Sexual Health services </w:t>
      </w:r>
      <w:r w:rsidRPr="008D6AC4">
        <w:rPr>
          <w:rFonts w:ascii="Verdana" w:eastAsia="Verdana" w:hAnsi="Verdana" w:cs="Verdana"/>
          <w:sz w:val="22"/>
          <w:szCs w:val="22"/>
        </w:rPr>
        <w:t>are</w:t>
      </w:r>
      <w:r w:rsidR="366D7F7A" w:rsidRPr="008D6AC4">
        <w:rPr>
          <w:rFonts w:ascii="Verdana" w:eastAsia="Verdana" w:hAnsi="Verdana" w:cs="Verdana"/>
          <w:sz w:val="22"/>
          <w:szCs w:val="22"/>
        </w:rPr>
        <w:t xml:space="preserve"> well-utilised and respected by the population, </w:t>
      </w:r>
      <w:r w:rsidR="2CC336DB" w:rsidRPr="008D6AC4">
        <w:rPr>
          <w:rFonts w:ascii="Verdana" w:eastAsia="Verdana" w:hAnsi="Verdana" w:cs="Verdana"/>
          <w:sz w:val="22"/>
          <w:szCs w:val="22"/>
        </w:rPr>
        <w:t xml:space="preserve">work to </w:t>
      </w:r>
      <w:r w:rsidR="2AE21479" w:rsidRPr="008D6AC4">
        <w:rPr>
          <w:rFonts w:ascii="Verdana" w:eastAsia="Verdana" w:hAnsi="Verdana" w:cs="Verdana"/>
          <w:sz w:val="22"/>
          <w:szCs w:val="22"/>
        </w:rPr>
        <w:t xml:space="preserve">ensure that availability and access is suitable to all groups of the population is recommended, including people who use drug and alcohol services, those in more deprived areas, women, </w:t>
      </w:r>
      <w:r w:rsidR="34D2988B" w:rsidRPr="008D6AC4">
        <w:rPr>
          <w:rFonts w:ascii="Verdana" w:eastAsia="Verdana" w:hAnsi="Verdana" w:cs="Verdana"/>
          <w:sz w:val="22"/>
          <w:szCs w:val="22"/>
        </w:rPr>
        <w:t xml:space="preserve">and young people. </w:t>
      </w:r>
      <w:r w:rsidR="002D303E" w:rsidRPr="008D6AC4">
        <w:rPr>
          <w:rFonts w:ascii="Verdana" w:eastAsia="Verdana" w:hAnsi="Verdana" w:cs="Verdana"/>
          <w:sz w:val="22"/>
          <w:szCs w:val="22"/>
        </w:rPr>
        <w:t xml:space="preserve">There is opportunity to strengthen commissioning by reviewing contracts to ensure </w:t>
      </w:r>
      <w:r w:rsidR="00AD292A" w:rsidRPr="008D6AC4">
        <w:rPr>
          <w:rFonts w:ascii="Verdana" w:eastAsia="Verdana" w:hAnsi="Verdana" w:cs="Verdana"/>
          <w:sz w:val="22"/>
          <w:szCs w:val="22"/>
        </w:rPr>
        <w:t xml:space="preserve">targets are aligned to the transformation in health outcomes being sought, and there is much greater focus on service alignment, partnership working, streamlining the offer and ensuring it is </w:t>
      </w:r>
      <w:r w:rsidR="00AF4C87" w:rsidRPr="008D6AC4">
        <w:rPr>
          <w:rFonts w:ascii="Verdana" w:eastAsia="Verdana" w:hAnsi="Verdana" w:cs="Verdana"/>
          <w:sz w:val="22"/>
          <w:szCs w:val="22"/>
        </w:rPr>
        <w:t>optimally able to meet the needs of the whole population</w:t>
      </w:r>
      <w:r w:rsidR="008B7DA9" w:rsidRPr="008D6AC4">
        <w:rPr>
          <w:rFonts w:ascii="Verdana" w:eastAsia="Verdana" w:hAnsi="Verdana" w:cs="Verdana"/>
          <w:sz w:val="22"/>
          <w:szCs w:val="22"/>
        </w:rPr>
        <w:t xml:space="preserve">. That means more focus is needed on cultural </w:t>
      </w:r>
      <w:r w:rsidR="009C3B87" w:rsidRPr="008D6AC4">
        <w:rPr>
          <w:rFonts w:ascii="Verdana" w:eastAsia="Verdana" w:hAnsi="Verdana" w:cs="Verdana"/>
          <w:sz w:val="22"/>
          <w:szCs w:val="22"/>
        </w:rPr>
        <w:t xml:space="preserve">adaption and reach </w:t>
      </w:r>
      <w:r w:rsidR="00AF042E" w:rsidRPr="008D6AC4">
        <w:rPr>
          <w:rFonts w:ascii="Verdana" w:eastAsia="Verdana" w:hAnsi="Verdana" w:cs="Verdana"/>
          <w:sz w:val="22"/>
          <w:szCs w:val="22"/>
        </w:rPr>
        <w:t xml:space="preserve">as well as focussing efforts on meeting the needs in particular of the more at risk groups identified. </w:t>
      </w:r>
      <w:r w:rsidR="34D2988B" w:rsidRPr="008D6AC4">
        <w:rPr>
          <w:rFonts w:ascii="Verdana" w:eastAsia="Verdana" w:hAnsi="Verdana" w:cs="Verdana"/>
          <w:sz w:val="22"/>
          <w:szCs w:val="22"/>
        </w:rPr>
        <w:t xml:space="preserve">Sexual assault and violence against women and girls </w:t>
      </w:r>
      <w:r w:rsidR="1962D8E2" w:rsidRPr="008D6AC4">
        <w:rPr>
          <w:rFonts w:ascii="Verdana" w:eastAsia="Verdana" w:hAnsi="Verdana" w:cs="Verdana"/>
          <w:sz w:val="22"/>
          <w:szCs w:val="22"/>
        </w:rPr>
        <w:t>can lead</w:t>
      </w:r>
      <w:r w:rsidR="34D2988B" w:rsidRPr="008D6AC4">
        <w:rPr>
          <w:rFonts w:ascii="Verdana" w:eastAsia="Verdana" w:hAnsi="Verdana" w:cs="Verdana"/>
          <w:sz w:val="22"/>
          <w:szCs w:val="22"/>
        </w:rPr>
        <w:t xml:space="preserve"> to poorer sexual health outcomes and</w:t>
      </w:r>
      <w:r w:rsidR="0F6DA9E9" w:rsidRPr="008D6AC4">
        <w:rPr>
          <w:rFonts w:ascii="Verdana" w:eastAsia="Verdana" w:hAnsi="Verdana" w:cs="Verdana"/>
          <w:sz w:val="22"/>
          <w:szCs w:val="22"/>
        </w:rPr>
        <w:t xml:space="preserve"> an</w:t>
      </w:r>
      <w:r w:rsidR="34D2988B" w:rsidRPr="008D6AC4">
        <w:rPr>
          <w:rFonts w:ascii="Verdana" w:eastAsia="Verdana" w:hAnsi="Verdana" w:cs="Verdana"/>
          <w:sz w:val="22"/>
          <w:szCs w:val="22"/>
        </w:rPr>
        <w:t xml:space="preserve"> increasing </w:t>
      </w:r>
      <w:r w:rsidR="7EFD7D39" w:rsidRPr="008D6AC4">
        <w:rPr>
          <w:rFonts w:ascii="Verdana" w:eastAsia="Verdana" w:hAnsi="Verdana" w:cs="Verdana"/>
          <w:sz w:val="22"/>
          <w:szCs w:val="22"/>
        </w:rPr>
        <w:t>risk</w:t>
      </w:r>
      <w:r w:rsidR="34D2988B" w:rsidRPr="008D6AC4">
        <w:rPr>
          <w:rFonts w:ascii="Verdana" w:eastAsia="Verdana" w:hAnsi="Verdana" w:cs="Verdana"/>
          <w:sz w:val="22"/>
          <w:szCs w:val="22"/>
        </w:rPr>
        <w:t xml:space="preserve"> of STI’s and unplanned pregnancy. This has been highlighted in the document as a key area of future focus</w:t>
      </w:r>
      <w:r w:rsidR="006473AA" w:rsidRPr="008D6AC4">
        <w:rPr>
          <w:rFonts w:ascii="Verdana" w:eastAsia="Verdana" w:hAnsi="Verdana" w:cs="Verdana"/>
          <w:sz w:val="22"/>
          <w:szCs w:val="22"/>
        </w:rPr>
        <w:t>. O</w:t>
      </w:r>
      <w:r w:rsidR="00106912" w:rsidRPr="008D6AC4">
        <w:rPr>
          <w:rFonts w:ascii="Verdana" w:eastAsia="Verdana" w:hAnsi="Verdana" w:cs="Verdana"/>
          <w:sz w:val="22"/>
          <w:szCs w:val="22"/>
        </w:rPr>
        <w:t>pportunities exist through the Women’s Health Hubs being introduced.</w:t>
      </w:r>
    </w:p>
    <w:p w14:paraId="34ECBBC9" w14:textId="77777777" w:rsidR="006370CB" w:rsidRDefault="006370CB" w:rsidP="49636075">
      <w:pPr>
        <w:jc w:val="both"/>
        <w:rPr>
          <w:rFonts w:ascii="Verdana" w:eastAsia="Verdana" w:hAnsi="Verdana" w:cs="Verdana"/>
          <w:sz w:val="22"/>
          <w:szCs w:val="22"/>
        </w:rPr>
      </w:pPr>
      <w:r w:rsidRPr="6B91972C">
        <w:rPr>
          <w:rFonts w:ascii="Verdana" w:eastAsia="Verdana" w:hAnsi="Verdana" w:cs="Verdana"/>
          <w:sz w:val="22"/>
          <w:szCs w:val="22"/>
        </w:rPr>
        <w:t xml:space="preserve">Taking actions outlined in this document will also support national efforts and ambitions to improving sexual health and wellbeing. We support a call on Government to set out a 10-year strategy to emphasise the contribution that good sexual health and wellbeing makes to overall health, economy, and growth.  </w:t>
      </w:r>
    </w:p>
    <w:p w14:paraId="78ECDEB7" w14:textId="77777777" w:rsidR="006370CB" w:rsidRDefault="006370CB">
      <w:pPr>
        <w:spacing w:before="0" w:after="200"/>
        <w:rPr>
          <w:rFonts w:ascii="Verdana" w:eastAsia="Verdana" w:hAnsi="Verdana" w:cs="Verdana"/>
          <w:b/>
          <w:bCs/>
          <w:sz w:val="22"/>
          <w:szCs w:val="22"/>
        </w:rPr>
      </w:pPr>
      <w:r>
        <w:rPr>
          <w:rFonts w:ascii="Verdana" w:eastAsia="Verdana" w:hAnsi="Verdana" w:cs="Verdana"/>
          <w:sz w:val="22"/>
          <w:szCs w:val="22"/>
        </w:rPr>
        <w:br w:type="page"/>
      </w:r>
    </w:p>
    <w:p w14:paraId="3229045F" w14:textId="77777777" w:rsidR="14E4E13F" w:rsidRPr="008D6AC4" w:rsidDel="006370CB" w:rsidRDefault="14E4E13F" w:rsidP="49636075">
      <w:pPr>
        <w:jc w:val="both"/>
        <w:rPr>
          <w:rFonts w:ascii="Verdana" w:eastAsia="Verdana" w:hAnsi="Verdana" w:cs="Verdana"/>
          <w:sz w:val="22"/>
          <w:szCs w:val="22"/>
        </w:rPr>
        <w:sectPr w:rsidR="14E4E13F" w:rsidRPr="008D6AC4" w:rsidDel="006370CB" w:rsidSect="009043C3">
          <w:headerReference w:type="default" r:id="rId45"/>
          <w:footerReference w:type="default" r:id="rId46"/>
          <w:pgSz w:w="11906" w:h="16838"/>
          <w:pgMar w:top="1440" w:right="1440" w:bottom="1440" w:left="1440" w:header="708" w:footer="708" w:gutter="0"/>
          <w:pgNumType w:start="1"/>
          <w:cols w:space="708"/>
          <w:docGrid w:linePitch="360"/>
        </w:sectPr>
      </w:pPr>
    </w:p>
    <w:p w14:paraId="6A998DF2" w14:textId="77777777" w:rsidR="004E7CFF" w:rsidRPr="008D6AC4" w:rsidRDefault="3298D2F7" w:rsidP="49636075">
      <w:pPr>
        <w:pStyle w:val="Heading1"/>
        <w:numPr>
          <w:ilvl w:val="0"/>
          <w:numId w:val="0"/>
        </w:numPr>
        <w:rPr>
          <w:rFonts w:ascii="Verdana" w:hAnsi="Verdana"/>
          <w:sz w:val="22"/>
          <w:szCs w:val="22"/>
        </w:rPr>
      </w:pPr>
      <w:bookmarkStart w:id="89" w:name="_Toc1311952321"/>
      <w:r w:rsidRPr="136F3BEB">
        <w:rPr>
          <w:rFonts w:ascii="Verdana" w:hAnsi="Verdana"/>
          <w:color w:val="2D7C82"/>
          <w:sz w:val="28"/>
          <w:szCs w:val="28"/>
        </w:rPr>
        <w:lastRenderedPageBreak/>
        <w:t xml:space="preserve">Appendix </w:t>
      </w:r>
      <w:r w:rsidR="6F7B72E9" w:rsidRPr="136F3BEB">
        <w:rPr>
          <w:rFonts w:ascii="Verdana" w:hAnsi="Verdana"/>
          <w:color w:val="2D7C82"/>
          <w:sz w:val="28"/>
          <w:szCs w:val="28"/>
        </w:rPr>
        <w:t>A</w:t>
      </w:r>
      <w:bookmarkEnd w:id="89"/>
      <w:r w:rsidR="1D176326" w:rsidRPr="136F3BEB">
        <w:rPr>
          <w:rFonts w:ascii="Verdana" w:hAnsi="Verdana"/>
          <w:sz w:val="22"/>
          <w:szCs w:val="22"/>
        </w:rPr>
        <w:t xml:space="preserve"> </w:t>
      </w:r>
    </w:p>
    <w:p w14:paraId="1FE76A29" w14:textId="77777777" w:rsidR="0309642B" w:rsidRPr="0089791B" w:rsidRDefault="0309642B" w:rsidP="49636075">
      <w:pPr>
        <w:rPr>
          <w:rFonts w:ascii="Verdana" w:hAnsi="Verdana"/>
        </w:rPr>
      </w:pPr>
      <w:r w:rsidRPr="0089791B">
        <w:rPr>
          <w:rFonts w:ascii="Verdana" w:hAnsi="Verdana"/>
        </w:rPr>
        <w:t xml:space="preserve">Figure 1 shows female and male comparisons of how often sexually active young people in the survey have had an STI test. </w:t>
      </w:r>
    </w:p>
    <w:p w14:paraId="0BE07A4B" w14:textId="77777777" w:rsidR="004E7CFF" w:rsidRPr="008D6AC4" w:rsidRDefault="07C4FA9B">
      <w:pPr>
        <w:spacing w:before="0" w:after="200"/>
        <w:rPr>
          <w:rFonts w:ascii="Verdana" w:hAnsi="Verdana"/>
          <w:sz w:val="22"/>
          <w:szCs w:val="22"/>
        </w:rPr>
      </w:pPr>
      <w:r w:rsidRPr="0089791B">
        <w:rPr>
          <w:rFonts w:ascii="Verdana" w:hAnsi="Verdana"/>
          <w:noProof/>
        </w:rPr>
        <w:drawing>
          <wp:inline distT="0" distB="0" distL="0" distR="0" wp14:anchorId="06F3FE83" wp14:editId="00784DD0">
            <wp:extent cx="5724525" cy="2862262"/>
            <wp:effectExtent l="0" t="0" r="0" b="0"/>
            <wp:docPr id="208725941" name="Picture 1097358121" descr="Stacked bar chart comparing how often males and females get an STI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25941" name="Picture 1097358121" descr="Stacked bar chart comparing how often males and females get an STI test."/>
                    <pic:cNvPicPr/>
                  </pic:nvPicPr>
                  <pic:blipFill>
                    <a:blip r:embed="rId47">
                      <a:extLst>
                        <a:ext uri="{28A0092B-C50C-407E-A947-70E740481C1C}">
                          <a14:useLocalDpi xmlns:a14="http://schemas.microsoft.com/office/drawing/2010/main" val="0"/>
                        </a:ext>
                      </a:extLst>
                    </a:blip>
                    <a:stretch>
                      <a:fillRect/>
                    </a:stretch>
                  </pic:blipFill>
                  <pic:spPr>
                    <a:xfrm>
                      <a:off x="0" y="0"/>
                      <a:ext cx="5724525" cy="2862262"/>
                    </a:xfrm>
                    <a:prstGeom prst="rect">
                      <a:avLst/>
                    </a:prstGeom>
                  </pic:spPr>
                </pic:pic>
              </a:graphicData>
            </a:graphic>
          </wp:inline>
        </w:drawing>
      </w:r>
      <w:r w:rsidR="11919F95" w:rsidRPr="008D6AC4">
        <w:rPr>
          <w:rFonts w:ascii="Verdana" w:hAnsi="Verdana"/>
          <w:sz w:val="22"/>
          <w:szCs w:val="22"/>
        </w:rPr>
        <w:t xml:space="preserve">Figure 2 below show reasons given by young people for not using a condom during sexual activity. </w:t>
      </w:r>
    </w:p>
    <w:p w14:paraId="3DC04917" w14:textId="77777777" w:rsidR="026ADB13" w:rsidRPr="008D6AC4" w:rsidRDefault="026ADB13" w:rsidP="49636075">
      <w:pPr>
        <w:rPr>
          <w:rFonts w:ascii="Verdana" w:eastAsia="Verdana" w:hAnsi="Verdana" w:cs="Verdana"/>
          <w:sz w:val="22"/>
          <w:szCs w:val="22"/>
        </w:rPr>
      </w:pPr>
      <w:r w:rsidRPr="008D6AC4">
        <w:rPr>
          <w:rFonts w:ascii="Verdana" w:hAnsi="Verdana"/>
          <w:b/>
          <w:bCs/>
          <w:color w:val="2D7C82"/>
          <w:sz w:val="32"/>
          <w:szCs w:val="32"/>
        </w:rPr>
        <w:t>|</w:t>
      </w:r>
      <w:r w:rsidR="464B8BBB" w:rsidRPr="0089791B">
        <w:rPr>
          <w:rFonts w:ascii="Verdana" w:hAnsi="Verdana"/>
          <w:noProof/>
        </w:rPr>
        <w:drawing>
          <wp:inline distT="0" distB="0" distL="0" distR="0" wp14:anchorId="5B11DD88" wp14:editId="6C8B7460">
            <wp:extent cx="5724525" cy="2862262"/>
            <wp:effectExtent l="0" t="0" r="0" b="0"/>
            <wp:docPr id="1048805057" name="Picture 2048708121" descr="Grouped bar chart comparing reasons given by males and females for not using a condom. Most common reason for females is already on contraception so condoms not needed. Most common reason for males is that no condoms are available at the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805057" name="Picture 2048708121" descr="Grouped bar chart comparing reasons given by males and females for not using a condom. Most common reason for females is already on contraception so condoms not needed. Most common reason for males is that no condoms are available at the time."/>
                    <pic:cNvPicPr/>
                  </pic:nvPicPr>
                  <pic:blipFill>
                    <a:blip r:embed="rId48">
                      <a:extLst>
                        <a:ext uri="{28A0092B-C50C-407E-A947-70E740481C1C}">
                          <a14:useLocalDpi xmlns:a14="http://schemas.microsoft.com/office/drawing/2010/main" val="0"/>
                        </a:ext>
                      </a:extLst>
                    </a:blip>
                    <a:stretch>
                      <a:fillRect/>
                    </a:stretch>
                  </pic:blipFill>
                  <pic:spPr>
                    <a:xfrm>
                      <a:off x="0" y="0"/>
                      <a:ext cx="5724525" cy="2862262"/>
                    </a:xfrm>
                    <a:prstGeom prst="rect">
                      <a:avLst/>
                    </a:prstGeom>
                  </pic:spPr>
                </pic:pic>
              </a:graphicData>
            </a:graphic>
          </wp:inline>
        </w:drawing>
      </w:r>
    </w:p>
    <w:p w14:paraId="14C0D9E4" w14:textId="3D628B1D" w:rsidR="0892D2A6" w:rsidRPr="008D6AC4" w:rsidRDefault="0892D2A6" w:rsidP="49636075">
      <w:pPr>
        <w:rPr>
          <w:rFonts w:ascii="Verdana" w:eastAsia="Verdana" w:hAnsi="Verdana" w:cs="Verdana"/>
          <w:sz w:val="22"/>
          <w:szCs w:val="22"/>
        </w:rPr>
      </w:pPr>
      <w:r w:rsidRPr="008D6AC4">
        <w:rPr>
          <w:rFonts w:ascii="Verdana" w:hAnsi="Verdana"/>
          <w:sz w:val="22"/>
          <w:szCs w:val="22"/>
        </w:rPr>
        <w:lastRenderedPageBreak/>
        <w:t xml:space="preserve">Figure 3 below shows the use of different substances before or during sexual activity reported by female and male </w:t>
      </w:r>
      <w:r w:rsidR="00FB3BCB" w:rsidRPr="008D6AC4">
        <w:rPr>
          <w:rFonts w:ascii="Verdana" w:hAnsi="Verdana"/>
          <w:sz w:val="22"/>
          <w:szCs w:val="22"/>
        </w:rPr>
        <w:t>respondents</w:t>
      </w:r>
      <w:r w:rsidRPr="008D6AC4">
        <w:rPr>
          <w:rFonts w:ascii="Verdana" w:hAnsi="Verdana"/>
          <w:sz w:val="22"/>
          <w:szCs w:val="22"/>
        </w:rPr>
        <w:t xml:space="preserve">. </w:t>
      </w:r>
      <w:r w:rsidR="026ADB13" w:rsidRPr="008D6AC4">
        <w:rPr>
          <w:rFonts w:ascii="Verdana" w:hAnsi="Verdana"/>
          <w:b/>
          <w:bCs/>
          <w:sz w:val="32"/>
          <w:szCs w:val="32"/>
        </w:rPr>
        <w:t xml:space="preserve"> </w:t>
      </w:r>
      <w:r w:rsidR="117CF1AE" w:rsidRPr="0089791B">
        <w:rPr>
          <w:rFonts w:ascii="Verdana" w:hAnsi="Verdana"/>
          <w:noProof/>
        </w:rPr>
        <w:drawing>
          <wp:inline distT="0" distB="0" distL="0" distR="0" wp14:anchorId="783720C6" wp14:editId="52A9B73F">
            <wp:extent cx="5724524" cy="2857500"/>
            <wp:effectExtent l="0" t="0" r="0" b="0"/>
            <wp:docPr id="49700175" name="Picture 632305349" descr="Graph showing substances used before or during sexual activity reported by males and females. Activities are smoking, vaping, alcohol and recreational drugs. Most common is va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00175" name="Picture 632305349" descr="Graph showing substances used before or during sexual activity reported by males and females. Activities are smoking, vaping, alcohol and recreational drugs. Most common is vaping."/>
                    <pic:cNvPicPr/>
                  </pic:nvPicPr>
                  <pic:blipFill>
                    <a:blip r:embed="rId49">
                      <a:extLst>
                        <a:ext uri="{28A0092B-C50C-407E-A947-70E740481C1C}">
                          <a14:useLocalDpi xmlns:a14="http://schemas.microsoft.com/office/drawing/2010/main" val="0"/>
                        </a:ext>
                      </a:extLst>
                    </a:blip>
                    <a:stretch>
                      <a:fillRect/>
                    </a:stretch>
                  </pic:blipFill>
                  <pic:spPr>
                    <a:xfrm>
                      <a:off x="0" y="0"/>
                      <a:ext cx="5724524" cy="2857500"/>
                    </a:xfrm>
                    <a:prstGeom prst="rect">
                      <a:avLst/>
                    </a:prstGeom>
                  </pic:spPr>
                </pic:pic>
              </a:graphicData>
            </a:graphic>
          </wp:inline>
        </w:drawing>
      </w:r>
    </w:p>
    <w:p w14:paraId="4573ADD6" w14:textId="77777777" w:rsidR="00C61873" w:rsidRPr="008D6AC4" w:rsidRDefault="00C61873" w:rsidP="00C331E1">
      <w:pPr>
        <w:rPr>
          <w:rFonts w:ascii="Verdana" w:hAnsi="Verdana"/>
          <w:sz w:val="20"/>
          <w:szCs w:val="20"/>
        </w:rPr>
      </w:pPr>
    </w:p>
    <w:p w14:paraId="01E0B274" w14:textId="77777777" w:rsidR="00D837E2" w:rsidRPr="008D6AC4" w:rsidRDefault="00D837E2">
      <w:pPr>
        <w:rPr>
          <w:rFonts w:ascii="Verdana" w:hAnsi="Verdana"/>
          <w:sz w:val="20"/>
          <w:szCs w:val="20"/>
        </w:rPr>
      </w:pPr>
    </w:p>
    <w:sectPr w:rsidR="00D837E2" w:rsidRPr="008D6AC4" w:rsidSect="0004540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70F831" w14:textId="77777777" w:rsidR="00D80A08" w:rsidRDefault="00D80A08" w:rsidP="00CE57B9">
      <w:pPr>
        <w:spacing w:after="0" w:line="240" w:lineRule="auto"/>
      </w:pPr>
      <w:r>
        <w:separator/>
      </w:r>
    </w:p>
  </w:endnote>
  <w:endnote w:type="continuationSeparator" w:id="0">
    <w:p w14:paraId="792FC2E0" w14:textId="77777777" w:rsidR="00D80A08" w:rsidRDefault="00D80A08" w:rsidP="00CE57B9">
      <w:pPr>
        <w:spacing w:after="0" w:line="240" w:lineRule="auto"/>
      </w:pPr>
      <w:r>
        <w:continuationSeparator/>
      </w:r>
    </w:p>
  </w:endnote>
  <w:endnote w:type="continuationNotice" w:id="1">
    <w:p w14:paraId="0A86A784" w14:textId="77777777" w:rsidR="00D80A08" w:rsidRDefault="00D80A0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Roboto">
    <w:charset w:val="00"/>
    <w:family w:val="auto"/>
    <w:pitch w:val="variable"/>
    <w:sig w:usb0="E0000AFF" w:usb1="5000217F" w:usb2="00000021" w:usb3="00000000" w:csb0="0000019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5CDA5" w14:textId="77777777" w:rsidR="009B6535" w:rsidRPr="006F242A" w:rsidRDefault="004D47D6" w:rsidP="009B6535">
    <w:pPr>
      <w:spacing w:after="160"/>
      <w:jc w:val="right"/>
      <w:rPr>
        <w:rFonts w:ascii="Verdana" w:hAnsi="Verdana"/>
        <w:b/>
        <w:color w:val="2D7C82"/>
      </w:rPr>
    </w:pPr>
    <w:r w:rsidRPr="006F242A">
      <w:rPr>
        <w:rFonts w:ascii="Verdana" w:hAnsi="Verdana"/>
        <w:noProof/>
        <w:color w:val="2B579A"/>
        <w:sz w:val="22"/>
        <w:szCs w:val="22"/>
        <w:shd w:val="clear" w:color="auto" w:fill="E6E6E6"/>
      </w:rPr>
      <w:drawing>
        <wp:anchor distT="0" distB="0" distL="114300" distR="114300" simplePos="0" relativeHeight="251658242" behindDoc="1" locked="0" layoutInCell="1" allowOverlap="1" wp14:anchorId="21575ABD" wp14:editId="0B5EEF03">
          <wp:simplePos x="0" y="0"/>
          <wp:positionH relativeFrom="column">
            <wp:posOffset>-548640</wp:posOffset>
          </wp:positionH>
          <wp:positionV relativeFrom="paragraph">
            <wp:posOffset>-228600</wp:posOffset>
          </wp:positionV>
          <wp:extent cx="7764780" cy="2179320"/>
          <wp:effectExtent l="0" t="0" r="7620" b="0"/>
          <wp:wrapNone/>
          <wp:docPr id="232642286" name="Picture 232642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42286" name="Picture 23264228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780" cy="2179320"/>
                  </a:xfrm>
                  <a:prstGeom prst="rect">
                    <a:avLst/>
                  </a:prstGeom>
                </pic:spPr>
              </pic:pic>
            </a:graphicData>
          </a:graphic>
          <wp14:sizeRelH relativeFrom="page">
            <wp14:pctWidth>0</wp14:pctWidth>
          </wp14:sizeRelH>
          <wp14:sizeRelV relativeFrom="page">
            <wp14:pctHeight>0</wp14:pctHeight>
          </wp14:sizeRelV>
        </wp:anchor>
      </w:drawing>
    </w:r>
    <w:r w:rsidR="0066579C" w:rsidRPr="006F242A">
      <w:rPr>
        <w:rFonts w:ascii="Verdana" w:hAnsi="Verdana"/>
        <w:b/>
        <w:noProof/>
        <w:color w:val="2B579A"/>
        <w:shd w:val="clear" w:color="auto" w:fill="E6E6E6"/>
      </w:rPr>
      <mc:AlternateContent>
        <mc:Choice Requires="wps">
          <w:drawing>
            <wp:anchor distT="0" distB="0" distL="114300" distR="114300" simplePos="0" relativeHeight="251658240" behindDoc="0" locked="0" layoutInCell="1" allowOverlap="1" wp14:anchorId="654E958F" wp14:editId="12CC8663">
              <wp:simplePos x="0" y="0"/>
              <wp:positionH relativeFrom="column">
                <wp:posOffset>151765</wp:posOffset>
              </wp:positionH>
              <wp:positionV relativeFrom="paragraph">
                <wp:posOffset>88265</wp:posOffset>
              </wp:positionV>
              <wp:extent cx="5334000" cy="0"/>
              <wp:effectExtent l="0" t="0" r="19050" b="19050"/>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334000" cy="0"/>
                      </a:xfrm>
                      <a:prstGeom prst="line">
                        <a:avLst/>
                      </a:prstGeom>
                      <a:ln w="12700">
                        <a:solidFill>
                          <a:srgbClr val="A755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CCD014" id="Straight Connector 22"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5pt,6.95pt" to="431.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" strokecolor="#a75585" strokeweight="1pt"/>
          </w:pict>
        </mc:Fallback>
      </mc:AlternateContent>
    </w:r>
    <w:r w:rsidR="009B6535" w:rsidRPr="006F242A">
      <w:rPr>
        <w:rFonts w:ascii="Verdana" w:hAnsi="Verdana"/>
        <w:b/>
        <w:color w:val="2D7C82"/>
      </w:rPr>
      <w:t>Produced by</w:t>
    </w:r>
  </w:p>
  <w:p w14:paraId="1BEEE239" w14:textId="77777777" w:rsidR="00E35F7C" w:rsidRPr="006F242A" w:rsidRDefault="00B138F2" w:rsidP="00A57BA9">
    <w:pPr>
      <w:spacing w:before="0" w:after="0"/>
      <w:jc w:val="right"/>
      <w:rPr>
        <w:rFonts w:ascii="Verdana" w:hAnsi="Verdana"/>
        <w:sz w:val="20"/>
        <w:szCs w:val="20"/>
      </w:rPr>
    </w:pPr>
    <w:r>
      <w:rPr>
        <w:rFonts w:ascii="Verdana" w:hAnsi="Verdana"/>
        <w:sz w:val="20"/>
        <w:szCs w:val="20"/>
      </w:rPr>
      <w:t>Durka Dougall</w:t>
    </w:r>
    <w:r w:rsidR="00E35F7C" w:rsidRPr="006F242A">
      <w:rPr>
        <w:rFonts w:ascii="Verdana" w:hAnsi="Verdana"/>
        <w:sz w:val="20"/>
        <w:szCs w:val="20"/>
      </w:rPr>
      <w:t xml:space="preserve">: </w:t>
    </w:r>
    <w:r w:rsidR="00447BE1" w:rsidRPr="006F242A">
      <w:rPr>
        <w:rFonts w:ascii="Verdana" w:hAnsi="Verdana"/>
        <w:sz w:val="20"/>
        <w:szCs w:val="20"/>
      </w:rPr>
      <w:t>Public Health</w:t>
    </w:r>
    <w:r w:rsidR="00E35F7C" w:rsidRPr="006F242A">
      <w:rPr>
        <w:rFonts w:ascii="Verdana" w:hAnsi="Verdana"/>
        <w:sz w:val="20"/>
        <w:szCs w:val="20"/>
      </w:rPr>
      <w:t xml:space="preserve"> Consultant (</w:t>
    </w:r>
    <w:hyperlink r:id="rId2" w:history="1">
      <w:r w:rsidRPr="00A5033D">
        <w:rPr>
          <w:rStyle w:val="Hyperlink"/>
          <w:rFonts w:ascii="Verdana" w:hAnsi="Verdana"/>
          <w:sz w:val="20"/>
          <w:szCs w:val="20"/>
        </w:rPr>
        <w:t>durka.dougall@Kent.gov.uk</w:t>
      </w:r>
    </w:hyperlink>
    <w:r w:rsidR="00E35F7C" w:rsidRPr="006F242A">
      <w:rPr>
        <w:rFonts w:ascii="Verdana" w:hAnsi="Verdana"/>
        <w:sz w:val="20"/>
        <w:szCs w:val="20"/>
      </w:rPr>
      <w:t>)</w:t>
    </w:r>
  </w:p>
  <w:p w14:paraId="36696FC9" w14:textId="77777777" w:rsidR="00E35F7C" w:rsidRPr="006F242A" w:rsidRDefault="006E5018" w:rsidP="00A57BA9">
    <w:pPr>
      <w:spacing w:before="0" w:after="0"/>
      <w:jc w:val="right"/>
      <w:rPr>
        <w:rFonts w:ascii="Verdana" w:hAnsi="Verdana"/>
        <w:sz w:val="20"/>
        <w:szCs w:val="20"/>
      </w:rPr>
    </w:pPr>
    <w:r w:rsidRPr="006F242A">
      <w:rPr>
        <w:rFonts w:ascii="Verdana" w:hAnsi="Verdana"/>
        <w:noProof/>
        <w:color w:val="2B579A"/>
        <w:sz w:val="22"/>
        <w:szCs w:val="22"/>
        <w:shd w:val="clear" w:color="auto" w:fill="E6E6E6"/>
      </w:rPr>
      <w:drawing>
        <wp:anchor distT="0" distB="0" distL="114300" distR="114300" simplePos="0" relativeHeight="251658244" behindDoc="0" locked="0" layoutInCell="1" allowOverlap="1" wp14:anchorId="4B4C4BF8" wp14:editId="490B5849">
          <wp:simplePos x="0" y="0"/>
          <wp:positionH relativeFrom="column">
            <wp:posOffset>83820</wp:posOffset>
          </wp:positionH>
          <wp:positionV relativeFrom="paragraph">
            <wp:posOffset>78740</wp:posOffset>
          </wp:positionV>
          <wp:extent cx="1097280" cy="714375"/>
          <wp:effectExtent l="0" t="0" r="7620" b="9525"/>
          <wp:wrapNone/>
          <wp:docPr id="172257317" name="Picture 172257317" descr="Kent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C Logo -New.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97280" cy="714375"/>
                  </a:xfrm>
                  <a:prstGeom prst="rect">
                    <a:avLst/>
                  </a:prstGeom>
                </pic:spPr>
              </pic:pic>
            </a:graphicData>
          </a:graphic>
          <wp14:sizeRelH relativeFrom="page">
            <wp14:pctWidth>0</wp14:pctWidth>
          </wp14:sizeRelH>
          <wp14:sizeRelV relativeFrom="page">
            <wp14:pctHeight>0</wp14:pctHeight>
          </wp14:sizeRelV>
        </wp:anchor>
      </w:drawing>
    </w:r>
    <w:r w:rsidR="00B138F2">
      <w:rPr>
        <w:rFonts w:ascii="Verdana" w:hAnsi="Verdana"/>
        <w:sz w:val="20"/>
        <w:szCs w:val="20"/>
      </w:rPr>
      <w:t>Tami Sonubi</w:t>
    </w:r>
    <w:r w:rsidR="00E35F7C" w:rsidRPr="006F242A">
      <w:rPr>
        <w:rFonts w:ascii="Verdana" w:hAnsi="Verdana"/>
        <w:sz w:val="20"/>
        <w:szCs w:val="20"/>
      </w:rPr>
      <w:t xml:space="preserve">: </w:t>
    </w:r>
    <w:r w:rsidR="00447BE1" w:rsidRPr="006F242A">
      <w:rPr>
        <w:rFonts w:ascii="Verdana" w:hAnsi="Verdana"/>
        <w:sz w:val="20"/>
        <w:szCs w:val="20"/>
      </w:rPr>
      <w:t>Senior</w:t>
    </w:r>
    <w:r w:rsidR="00E35F7C" w:rsidRPr="006F242A">
      <w:rPr>
        <w:rFonts w:ascii="Verdana" w:hAnsi="Verdana"/>
        <w:sz w:val="20"/>
        <w:szCs w:val="20"/>
      </w:rPr>
      <w:t xml:space="preserve"> </w:t>
    </w:r>
    <w:r w:rsidR="00847C21" w:rsidRPr="006F242A">
      <w:rPr>
        <w:rFonts w:ascii="Verdana" w:hAnsi="Verdana"/>
        <w:sz w:val="20"/>
        <w:szCs w:val="20"/>
      </w:rPr>
      <w:t xml:space="preserve">Intelligence </w:t>
    </w:r>
    <w:r w:rsidR="00E35F7C" w:rsidRPr="006F242A">
      <w:rPr>
        <w:rFonts w:ascii="Verdana" w:hAnsi="Verdana"/>
        <w:sz w:val="20"/>
        <w:szCs w:val="20"/>
      </w:rPr>
      <w:t>Analyst (</w:t>
    </w:r>
    <w:hyperlink r:id="rId4" w:history="1">
      <w:r w:rsidR="00B138F2" w:rsidRPr="00A5033D">
        <w:rPr>
          <w:rStyle w:val="Hyperlink"/>
          <w:rFonts w:ascii="Verdana" w:hAnsi="Verdana"/>
          <w:sz w:val="20"/>
          <w:szCs w:val="20"/>
        </w:rPr>
        <w:t>tami.sonubi@kent.gov.uk</w:t>
      </w:r>
    </w:hyperlink>
    <w:r w:rsidR="00E35F7C" w:rsidRPr="006F242A">
      <w:rPr>
        <w:rFonts w:ascii="Verdana" w:hAnsi="Verdana"/>
        <w:sz w:val="20"/>
        <w:szCs w:val="20"/>
      </w:rPr>
      <w:t>)</w:t>
    </w:r>
  </w:p>
  <w:p w14:paraId="05F24C03" w14:textId="77777777" w:rsidR="004D47D6" w:rsidRDefault="00B138F2" w:rsidP="00A57BA9">
    <w:pPr>
      <w:spacing w:before="0" w:after="0"/>
      <w:ind w:left="-567"/>
      <w:jc w:val="right"/>
      <w:rPr>
        <w:rFonts w:ascii="Verdana" w:hAnsi="Verdana"/>
        <w:sz w:val="22"/>
        <w:szCs w:val="22"/>
      </w:rPr>
    </w:pPr>
    <w:r>
      <w:rPr>
        <w:rFonts w:ascii="Verdana" w:hAnsi="Verdana"/>
        <w:sz w:val="20"/>
        <w:szCs w:val="20"/>
      </w:rPr>
      <w:t>Stephanie Hyams: Public Health Registrar</w:t>
    </w:r>
    <w:r w:rsidR="00E35F7C" w:rsidRPr="006F242A">
      <w:rPr>
        <w:rFonts w:ascii="Verdana" w:hAnsi="Verdana"/>
        <w:sz w:val="20"/>
        <w:szCs w:val="20"/>
      </w:rPr>
      <w:t xml:space="preserve"> (</w:t>
    </w:r>
    <w:hyperlink r:id="rId5" w:history="1">
      <w:r w:rsidRPr="00A5033D">
        <w:rPr>
          <w:rStyle w:val="Hyperlink"/>
          <w:rFonts w:ascii="Verdana" w:hAnsi="Verdana"/>
          <w:sz w:val="20"/>
          <w:szCs w:val="20"/>
        </w:rPr>
        <w:t>stephanie.hyams@Kent.gov.uk</w:t>
      </w:r>
    </w:hyperlink>
    <w:r w:rsidR="00E35F7C" w:rsidRPr="006F242A">
      <w:rPr>
        <w:rFonts w:ascii="Verdana" w:hAnsi="Verdana"/>
        <w:sz w:val="22"/>
        <w:szCs w:val="22"/>
      </w:rPr>
      <w:t>)</w:t>
    </w:r>
  </w:p>
  <w:p w14:paraId="3B5AC856" w14:textId="77777777" w:rsidR="00B138F2" w:rsidRPr="00B138F2" w:rsidRDefault="00B138F2" w:rsidP="00A57BA9">
    <w:pPr>
      <w:spacing w:before="0" w:after="0"/>
      <w:ind w:left="-567"/>
      <w:jc w:val="right"/>
      <w:rPr>
        <w:rFonts w:ascii="Verdana" w:hAnsi="Verdana"/>
        <w:sz w:val="20"/>
        <w:szCs w:val="20"/>
      </w:rPr>
    </w:pPr>
    <w:r w:rsidRPr="00B138F2">
      <w:rPr>
        <w:rFonts w:ascii="Verdana" w:hAnsi="Verdana"/>
        <w:sz w:val="20"/>
        <w:szCs w:val="20"/>
      </w:rPr>
      <w:t>Hannah Brisley: Public Health Specialist</w:t>
    </w:r>
    <w:r>
      <w:rPr>
        <w:rFonts w:ascii="Verdana" w:hAnsi="Verdana"/>
        <w:sz w:val="20"/>
        <w:szCs w:val="20"/>
      </w:rPr>
      <w:t xml:space="preserve"> (</w:t>
    </w:r>
    <w:hyperlink r:id="rId6" w:history="1">
      <w:r w:rsidRPr="00A5033D">
        <w:rPr>
          <w:rStyle w:val="Hyperlink"/>
          <w:rFonts w:ascii="Verdana" w:hAnsi="Verdana"/>
          <w:sz w:val="20"/>
          <w:szCs w:val="20"/>
        </w:rPr>
        <w:t>hannah.brisley@kent.gov.uk</w:t>
      </w:r>
    </w:hyperlink>
    <w:r>
      <w:rPr>
        <w:rFonts w:ascii="Verdana" w:hAnsi="Verdana"/>
        <w:sz w:val="20"/>
        <w:szCs w:val="20"/>
      </w:rPr>
      <w:t xml:space="preserve">) </w:t>
    </w:r>
  </w:p>
  <w:p w14:paraId="24C45C64" w14:textId="77777777" w:rsidR="00E35F7C" w:rsidRPr="00B138F2" w:rsidRDefault="004D47D6" w:rsidP="00A57BA9">
    <w:pPr>
      <w:spacing w:before="0" w:after="0"/>
      <w:ind w:left="-567"/>
      <w:jc w:val="right"/>
      <w:rPr>
        <w:rFonts w:ascii="Verdana" w:hAnsi="Verdana"/>
        <w:sz w:val="20"/>
        <w:szCs w:val="20"/>
      </w:rPr>
    </w:pPr>
    <w:r w:rsidRPr="00B138F2">
      <w:rPr>
        <w:rFonts w:ascii="Verdana" w:hAnsi="Verdana"/>
        <w:sz w:val="20"/>
        <w:szCs w:val="20"/>
      </w:rPr>
      <w:t xml:space="preserve">Correspondence to: </w:t>
    </w:r>
    <w:r w:rsidR="00B138F2" w:rsidRPr="00B138F2">
      <w:rPr>
        <w:rFonts w:ascii="Verdana" w:hAnsi="Verdana"/>
        <w:sz w:val="20"/>
        <w:szCs w:val="20"/>
      </w:rPr>
      <w:t>Hannah Brisley</w:t>
    </w:r>
    <w:r w:rsidR="00E35F7C" w:rsidRPr="00B138F2">
      <w:rPr>
        <w:rFonts w:ascii="Verdana" w:hAnsi="Verdana"/>
        <w:sz w:val="20"/>
        <w:szCs w:val="20"/>
      </w:rPr>
      <w:t xml:space="preserve"> </w:t>
    </w:r>
  </w:p>
  <w:p w14:paraId="1C19374E" w14:textId="77777777" w:rsidR="00AE684F" w:rsidRPr="006F242A" w:rsidRDefault="00AE684F" w:rsidP="00A57BA9">
    <w:pPr>
      <w:spacing w:before="0" w:after="0"/>
      <w:ind w:left="-567"/>
      <w:jc w:val="right"/>
      <w:rPr>
        <w:rFonts w:ascii="Verdana" w:hAnsi="Verdana"/>
        <w:sz w:val="20"/>
        <w:szCs w:val="20"/>
      </w:rPr>
    </w:pPr>
  </w:p>
  <w:p w14:paraId="0E6B700C" w14:textId="77777777" w:rsidR="00AE684F" w:rsidRPr="004837FE" w:rsidRDefault="00FA2F35" w:rsidP="00A57BA9">
    <w:pPr>
      <w:spacing w:before="0" w:after="0"/>
      <w:ind w:left="-567"/>
      <w:jc w:val="right"/>
      <w:rPr>
        <w:color w:val="2D7C82"/>
        <w:sz w:val="22"/>
        <w:szCs w:val="22"/>
      </w:rPr>
    </w:pPr>
    <w:r w:rsidRPr="006F242A">
      <w:rPr>
        <w:rFonts w:ascii="Verdana" w:hAnsi="Verdana"/>
        <w:color w:val="2D7C82"/>
        <w:sz w:val="20"/>
        <w:szCs w:val="20"/>
      </w:rPr>
      <w:t>Status</w:t>
    </w:r>
    <w:r w:rsidR="00AE684F" w:rsidRPr="006F242A">
      <w:rPr>
        <w:rFonts w:ascii="Verdana" w:hAnsi="Verdana"/>
        <w:color w:val="2D7C82"/>
        <w:sz w:val="20"/>
        <w:szCs w:val="20"/>
      </w:rPr>
      <w:t xml:space="preserve">: </w:t>
    </w:r>
    <w:r w:rsidRPr="006F242A">
      <w:rPr>
        <w:rFonts w:ascii="Verdana" w:hAnsi="Verdana"/>
        <w:color w:val="2D7C82"/>
        <w:sz w:val="20"/>
        <w:szCs w:val="20"/>
      </w:rPr>
      <w:t>Draft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11963795"/>
      <w:docPartObj>
        <w:docPartGallery w:val="Page Numbers (Bottom of Page)"/>
        <w:docPartUnique/>
      </w:docPartObj>
    </w:sdtPr>
    <w:sdtEndPr>
      <w:rPr>
        <w:noProof/>
        <w:color w:val="2D7C82"/>
        <w:sz w:val="22"/>
        <w:szCs w:val="22"/>
      </w:rPr>
    </w:sdtEndPr>
    <w:sdtContent>
      <w:p w14:paraId="4FA3E561" w14:textId="77777777" w:rsidR="009043C3" w:rsidRPr="004837FE" w:rsidRDefault="009043C3">
        <w:pPr>
          <w:pStyle w:val="Footer"/>
          <w:jc w:val="right"/>
          <w:rPr>
            <w:color w:val="2D7C82"/>
            <w:sz w:val="22"/>
            <w:szCs w:val="22"/>
          </w:rPr>
        </w:pPr>
        <w:r w:rsidRPr="004837FE">
          <w:rPr>
            <w:b/>
            <w:noProof/>
            <w:color w:val="2B579A"/>
            <w:sz w:val="26"/>
            <w:szCs w:val="26"/>
            <w:shd w:val="clear" w:color="auto" w:fill="E6E6E6"/>
          </w:rPr>
          <mc:AlternateContent>
            <mc:Choice Requires="wps">
              <w:drawing>
                <wp:anchor distT="0" distB="0" distL="114300" distR="114300" simplePos="0" relativeHeight="251658243" behindDoc="0" locked="0" layoutInCell="1" allowOverlap="1" wp14:anchorId="1AA28C0F" wp14:editId="68E3E0FB">
                  <wp:simplePos x="0" y="0"/>
                  <wp:positionH relativeFrom="column">
                    <wp:posOffset>-320040</wp:posOffset>
                  </wp:positionH>
                  <wp:positionV relativeFrom="paragraph">
                    <wp:posOffset>111548</wp:posOffset>
                  </wp:positionV>
                  <wp:extent cx="5760000" cy="0"/>
                  <wp:effectExtent l="0" t="0" r="12700" b="19050"/>
                  <wp:wrapNone/>
                  <wp:docPr id="786812738" name="Straight Connector 7868127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60000" cy="0"/>
                          </a:xfrm>
                          <a:prstGeom prst="line">
                            <a:avLst/>
                          </a:prstGeom>
                          <a:ln w="12700">
                            <a:solidFill>
                              <a:srgbClr val="A755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70201" id="Straight Connector 786812738"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8.8pt" to="428.3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" strokecolor="#a75585" strokeweight="1pt"/>
              </w:pict>
            </mc:Fallback>
          </mc:AlternateContent>
        </w:r>
        <w:r w:rsidRPr="004837FE">
          <w:rPr>
            <w:color w:val="2D7C82"/>
            <w:sz w:val="22"/>
            <w:szCs w:val="22"/>
            <w:shd w:val="clear" w:color="auto" w:fill="E6E6E6"/>
          </w:rPr>
          <w:fldChar w:fldCharType="begin"/>
        </w:r>
        <w:r w:rsidRPr="004837FE">
          <w:rPr>
            <w:color w:val="2D7C82"/>
            <w:sz w:val="22"/>
            <w:szCs w:val="22"/>
          </w:rPr>
          <w:instrText xml:space="preserve"> PAGE   \* MERGEFORMAT </w:instrText>
        </w:r>
        <w:r w:rsidRPr="004837FE">
          <w:rPr>
            <w:color w:val="2D7C82"/>
            <w:sz w:val="22"/>
            <w:szCs w:val="22"/>
            <w:shd w:val="clear" w:color="auto" w:fill="E6E6E6"/>
          </w:rPr>
          <w:fldChar w:fldCharType="separate"/>
        </w:r>
        <w:r w:rsidR="00EF3DD0">
          <w:rPr>
            <w:noProof/>
            <w:color w:val="2D7C82"/>
            <w:sz w:val="22"/>
            <w:szCs w:val="22"/>
          </w:rPr>
          <w:t>1</w:t>
        </w:r>
        <w:r w:rsidRPr="004837FE">
          <w:rPr>
            <w:color w:val="2D7C82"/>
            <w:sz w:val="22"/>
            <w:szCs w:val="22"/>
            <w:shd w:val="clear" w:color="auto" w:fill="E6E6E6"/>
          </w:rPr>
          <w:fldChar w:fldCharType="end"/>
        </w:r>
      </w:p>
    </w:sdtContent>
  </w:sdt>
  <w:p w14:paraId="5DA3980C" w14:textId="77777777" w:rsidR="009043C3" w:rsidRPr="006F242A" w:rsidRDefault="00630AB0" w:rsidP="006F242A">
    <w:pPr>
      <w:pStyle w:val="Footer"/>
      <w:spacing w:before="0"/>
      <w:rPr>
        <w:rFonts w:ascii="Verdana" w:hAnsi="Verdana"/>
        <w:sz w:val="16"/>
        <w:szCs w:val="16"/>
      </w:rPr>
    </w:pPr>
    <w:r>
      <w:rPr>
        <w:rFonts w:ascii="Verdana" w:hAnsi="Verdana"/>
        <w:sz w:val="20"/>
        <w:szCs w:val="20"/>
      </w:rPr>
      <w:t>Kent Sexual Health Needs Assessment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E4E8CC" w14:textId="77777777" w:rsidR="00D80A08" w:rsidRDefault="00D80A08" w:rsidP="00CE57B9">
      <w:pPr>
        <w:spacing w:after="0" w:line="240" w:lineRule="auto"/>
      </w:pPr>
      <w:r>
        <w:separator/>
      </w:r>
    </w:p>
  </w:footnote>
  <w:footnote w:type="continuationSeparator" w:id="0">
    <w:p w14:paraId="4311E07E" w14:textId="77777777" w:rsidR="00D80A08" w:rsidRDefault="00D80A08" w:rsidP="00CE57B9">
      <w:pPr>
        <w:spacing w:after="0" w:line="240" w:lineRule="auto"/>
      </w:pPr>
      <w:r>
        <w:continuationSeparator/>
      </w:r>
    </w:p>
  </w:footnote>
  <w:footnote w:type="continuationNotice" w:id="1">
    <w:p w14:paraId="26888B33" w14:textId="77777777" w:rsidR="00D80A08" w:rsidRDefault="00D80A08">
      <w:pPr>
        <w:spacing w:before="0" w:after="0" w:line="240" w:lineRule="auto"/>
      </w:pPr>
    </w:p>
  </w:footnote>
  <w:footnote w:id="2">
    <w:p w14:paraId="093AEC9B" w14:textId="77777777" w:rsidR="08C1D2EB" w:rsidRDefault="08C1D2EB" w:rsidP="08C1D2EB">
      <w:pPr>
        <w:pStyle w:val="FootnoteText"/>
      </w:pPr>
      <w:r w:rsidRPr="08C1D2EB">
        <w:rPr>
          <w:rStyle w:val="FootnoteReference"/>
        </w:rPr>
        <w:footnoteRef/>
      </w:r>
      <w:r w:rsidR="0F70E809">
        <w:t xml:space="preserve">  World Health Organisation (2006) </w:t>
      </w:r>
      <w:hyperlink r:id="rId1" w:anchor="tab=tab_2">
        <w:r w:rsidR="0F70E809" w:rsidRPr="0F70E809">
          <w:rPr>
            <w:rStyle w:val="Hyperlink"/>
          </w:rPr>
          <w:t>https://www.who.int/health-topics/sexual-health#tab=tab_2</w:t>
        </w:r>
      </w:hyperlink>
      <w:r w:rsidR="0F70E809">
        <w:t xml:space="preserve"> </w:t>
      </w:r>
    </w:p>
  </w:footnote>
  <w:footnote w:id="3">
    <w:p w14:paraId="3493AD9B" w14:textId="77777777" w:rsidR="34CB9FE5" w:rsidRDefault="34CB9FE5" w:rsidP="34CB9FE5">
      <w:pPr>
        <w:pStyle w:val="FootnoteText"/>
      </w:pPr>
      <w:r w:rsidRPr="34CB9FE5">
        <w:rPr>
          <w:rStyle w:val="FootnoteReference"/>
        </w:rPr>
        <w:footnoteRef/>
      </w:r>
      <w:r w:rsidR="4061AE47">
        <w:t xml:space="preserve"> World Health Organisation (2024) </w:t>
      </w:r>
      <w:hyperlink r:id="rId2" w:anchor="tab=tab_1">
        <w:r w:rsidR="4061AE47" w:rsidRPr="4061AE47">
          <w:rPr>
            <w:rStyle w:val="Hyperlink"/>
          </w:rPr>
          <w:t>https://www.who.int/health-topics/sexual-health#tab=tab_1</w:t>
        </w:r>
      </w:hyperlink>
      <w:r w:rsidR="4061AE47">
        <w:t xml:space="preserve"> </w:t>
      </w:r>
    </w:p>
  </w:footnote>
  <w:footnote w:id="4">
    <w:p w14:paraId="2077EF19" w14:textId="77777777" w:rsidR="46C273BB" w:rsidRDefault="2A058E19" w:rsidP="002E081D">
      <w:pPr>
        <w:pStyle w:val="FootnoteText"/>
      </w:pPr>
      <w:r w:rsidRPr="2A058E19">
        <w:rPr>
          <w:rStyle w:val="FootnoteReference"/>
        </w:rPr>
        <w:footnoteRef/>
      </w:r>
      <w:r w:rsidR="46C273BB">
        <w:t xml:space="preserve"> Mitchel. </w:t>
      </w:r>
      <w:r w:rsidR="46C273BB" w:rsidRPr="46C273BB">
        <w:rPr>
          <w:rFonts w:ascii="Calibri" w:eastAsia="Calibri" w:hAnsi="Calibri" w:cs="Calibri"/>
        </w:rPr>
        <w:t xml:space="preserve">K </w:t>
      </w:r>
      <w:r w:rsidR="46C273BB" w:rsidRPr="46C273BB">
        <w:rPr>
          <w:rFonts w:ascii="Calibri" w:eastAsia="Calibri" w:hAnsi="Calibri" w:cs="Calibri"/>
          <w:i/>
          <w:iCs/>
        </w:rPr>
        <w:t xml:space="preserve">et al </w:t>
      </w:r>
      <w:r w:rsidR="46C273BB" w:rsidRPr="46C273BB">
        <w:rPr>
          <w:rFonts w:ascii="Calibri" w:eastAsia="Calibri" w:hAnsi="Calibri" w:cs="Calibri"/>
        </w:rPr>
        <w:t xml:space="preserve">(2021) </w:t>
      </w:r>
      <w:r w:rsidR="46C273BB" w:rsidRPr="46C273BB">
        <w:rPr>
          <w:rFonts w:ascii="Calibri" w:eastAsia="Calibri" w:hAnsi="Calibri" w:cs="Calibri"/>
          <w:color w:val="2E2E2E"/>
        </w:rPr>
        <w:t>What is sexual wellbeing and why does it matter for public health?</w:t>
      </w:r>
      <w:r w:rsidR="5C31890D" w:rsidRPr="5C31890D">
        <w:rPr>
          <w:rFonts w:ascii="Calibri" w:eastAsia="Calibri" w:hAnsi="Calibri" w:cs="Calibri"/>
          <w:color w:val="2E2E2E"/>
        </w:rPr>
        <w:t xml:space="preserve"> </w:t>
      </w:r>
      <w:hyperlink r:id="rId3">
        <w:r w:rsidR="64549CEA" w:rsidRPr="64549CEA">
          <w:rPr>
            <w:rStyle w:val="Hyperlink"/>
            <w:rFonts w:ascii="Source Sans Pro" w:eastAsia="Source Sans Pro" w:hAnsi="Source Sans Pro" w:cs="Source Sans Pro"/>
            <w:color w:val="00549E"/>
            <w:sz w:val="21"/>
            <w:szCs w:val="21"/>
            <w:u w:val="none"/>
          </w:rPr>
          <w:t>Volume 6, Issue 8</w:t>
        </w:r>
      </w:hyperlink>
      <w:r w:rsidR="64549CEA" w:rsidRPr="64549CEA">
        <w:rPr>
          <w:rFonts w:ascii="Source Sans Pro" w:eastAsia="Source Sans Pro" w:hAnsi="Source Sans Pro" w:cs="Source Sans Pro"/>
          <w:caps/>
          <w:color w:val="2E2E2E"/>
          <w:sz w:val="21"/>
          <w:szCs w:val="21"/>
        </w:rPr>
        <w:t>e608-e613</w:t>
      </w:r>
    </w:p>
    <w:p w14:paraId="341C591D" w14:textId="77777777" w:rsidR="2A058E19" w:rsidRDefault="2A058E19" w:rsidP="2A058E19">
      <w:pPr>
        <w:pStyle w:val="FootnoteText"/>
      </w:pPr>
    </w:p>
  </w:footnote>
  <w:footnote w:id="5">
    <w:p w14:paraId="3E938EDE" w14:textId="77777777" w:rsidR="00630AB0" w:rsidRDefault="00630AB0" w:rsidP="00630AB0">
      <w:pPr>
        <w:pStyle w:val="FootnoteText"/>
      </w:pPr>
      <w:r>
        <w:rPr>
          <w:rStyle w:val="FootnoteReference"/>
        </w:rPr>
        <w:footnoteRef/>
      </w:r>
      <w:r>
        <w:t xml:space="preserve"> </w:t>
      </w:r>
      <w:hyperlink r:id="rId4" w:history="1">
        <w:r>
          <w:rPr>
            <w:rStyle w:val="cf01"/>
            <w:color w:val="0000FF"/>
            <w:u w:val="single"/>
          </w:rPr>
          <w:t>FSRH COVID-19 rolling members survey: interim results 07 May 2020 - Faculty of Sexual and Reproductive Healthcare</w:t>
        </w:r>
      </w:hyperlink>
    </w:p>
  </w:footnote>
  <w:footnote w:id="6">
    <w:p w14:paraId="3DDCB29D" w14:textId="77777777" w:rsidR="00630AB0" w:rsidRDefault="00630AB0" w:rsidP="00630AB0">
      <w:pPr>
        <w:pStyle w:val="FootnoteText"/>
      </w:pPr>
      <w:r>
        <w:rPr>
          <w:rStyle w:val="FootnoteReference"/>
        </w:rPr>
        <w:footnoteRef/>
      </w:r>
      <w:r>
        <w:t xml:space="preserve"> </w:t>
      </w:r>
      <w:hyperlink r:id="rId5" w:history="1">
        <w:r>
          <w:rPr>
            <w:rStyle w:val="cf01"/>
            <w:color w:val="0000FF"/>
            <w:u w:val="single"/>
          </w:rPr>
          <w:t>COVID-19: impact on STIs, HIV and viral hepatitis, 2020 report (publishing.service.gov.uk)</w:t>
        </w:r>
      </w:hyperlink>
    </w:p>
  </w:footnote>
  <w:footnote w:id="7">
    <w:p w14:paraId="56BD1450" w14:textId="77777777" w:rsidR="00630AB0" w:rsidRDefault="00630AB0" w:rsidP="00630AB0">
      <w:pPr>
        <w:pStyle w:val="FootnoteText"/>
      </w:pPr>
      <w:r>
        <w:rPr>
          <w:rStyle w:val="FootnoteReference"/>
        </w:rPr>
        <w:footnoteRef/>
      </w:r>
      <w:r>
        <w:t xml:space="preserve"> </w:t>
      </w:r>
      <w:hyperlink r:id="rId6" w:history="1">
        <w:r>
          <w:rPr>
            <w:rStyle w:val="cf01"/>
            <w:color w:val="0000FF"/>
            <w:u w:val="single"/>
          </w:rPr>
          <w:t>‘Stay at home …’: exploring the impact of the COVID-19 public health response on sexual behaviour and health service use among men who have sex with men: findings from a large online survey in the UK | Sexually Transmitted Infections (bmj.com)</w:t>
        </w:r>
      </w:hyperlink>
    </w:p>
  </w:footnote>
  <w:footnote w:id="8">
    <w:p w14:paraId="2EC134C1" w14:textId="77777777" w:rsidR="00630AB0" w:rsidRDefault="00630AB0" w:rsidP="00630AB0">
      <w:pPr>
        <w:pStyle w:val="FootnoteText"/>
      </w:pPr>
      <w:r>
        <w:rPr>
          <w:rStyle w:val="FootnoteReference"/>
        </w:rPr>
        <w:footnoteRef/>
      </w:r>
      <w:r>
        <w:t xml:space="preserve"> </w:t>
      </w:r>
      <w:hyperlink r:id="rId7" w:history="1">
        <w:r>
          <w:rPr>
            <w:rStyle w:val="cf01"/>
            <w:color w:val="0000FF"/>
            <w:u w:val="single"/>
          </w:rPr>
          <w:t>How did the COVID-19 pandemic affect access to condoms, chlamydia and HIV testing, and cervical cancer screening at a population level in Britain? (Natsal-COVID) | Sexually Transmitted Infections (bmj.com)</w:t>
        </w:r>
      </w:hyperlink>
    </w:p>
  </w:footnote>
  <w:footnote w:id="9">
    <w:p w14:paraId="451194F9" w14:textId="77777777" w:rsidR="00630AB0" w:rsidRDefault="00630AB0" w:rsidP="00630AB0">
      <w:pPr>
        <w:pStyle w:val="FootnoteText"/>
      </w:pPr>
      <w:r>
        <w:rPr>
          <w:rStyle w:val="FootnoteReference"/>
        </w:rPr>
        <w:footnoteRef/>
      </w:r>
      <w:r>
        <w:t xml:space="preserve"> </w:t>
      </w:r>
      <w:hyperlink r:id="rId8" w:history="1">
        <w:proofErr w:type="spellStart"/>
        <w:r>
          <w:rPr>
            <w:rStyle w:val="cf01"/>
            <w:color w:val="0000FF"/>
            <w:u w:val="single"/>
          </w:rPr>
          <w:t>Natsal</w:t>
        </w:r>
        <w:proofErr w:type="spellEnd"/>
        <w:r>
          <w:rPr>
            <w:rStyle w:val="cf01"/>
            <w:color w:val="0000FF"/>
            <w:u w:val="single"/>
          </w:rPr>
          <w:t>-COVID Study – NATSAL</w:t>
        </w:r>
      </w:hyperlink>
    </w:p>
  </w:footnote>
  <w:footnote w:id="10">
    <w:p w14:paraId="4E8CEB86" w14:textId="77777777" w:rsidR="00630AB0" w:rsidRDefault="00630AB0" w:rsidP="00630AB0">
      <w:pPr>
        <w:pStyle w:val="FootnoteText"/>
      </w:pPr>
      <w:r>
        <w:rPr>
          <w:rStyle w:val="FootnoteReference"/>
        </w:rPr>
        <w:footnoteRef/>
      </w:r>
      <w:r>
        <w:t xml:space="preserve"> </w:t>
      </w:r>
      <w:hyperlink r:id="rId9" w:history="1">
        <w:r>
          <w:rPr>
            <w:rStyle w:val="cf01"/>
            <w:color w:val="0000FF"/>
            <w:u w:val="single"/>
          </w:rPr>
          <w:t>Contraceptive use and pregnancy planning in Britain during the first year of the COVID-19 pandemic: findings from a large, quasi-representative survey (Natsal-COVID) | BMJ Sexual &amp; Reproductive Health</w:t>
        </w:r>
      </w:hyperlink>
    </w:p>
  </w:footnote>
  <w:footnote w:id="11">
    <w:p w14:paraId="0F345012" w14:textId="77777777" w:rsidR="00630AB0" w:rsidRPr="0028296E" w:rsidRDefault="00630AB0" w:rsidP="00630AB0">
      <w:pPr>
        <w:pStyle w:val="FootnoteText"/>
        <w:spacing w:after="240"/>
        <w:rPr>
          <w:sz w:val="18"/>
          <w:szCs w:val="18"/>
        </w:rPr>
      </w:pPr>
      <w:r w:rsidRPr="0028296E">
        <w:rPr>
          <w:rStyle w:val="FootnoteReference"/>
          <w:sz w:val="18"/>
          <w:szCs w:val="18"/>
        </w:rPr>
        <w:footnoteRef/>
      </w:r>
      <w:r w:rsidRPr="0028296E">
        <w:rPr>
          <w:sz w:val="18"/>
          <w:szCs w:val="18"/>
        </w:rPr>
        <w:t xml:space="preserve"> </w:t>
      </w:r>
      <w:hyperlink r:id="rId10" w:anchor="ref-1" w:history="1">
        <w:r w:rsidRPr="0028296E">
          <w:rPr>
            <w:rStyle w:val="cf01"/>
            <w:color w:val="0000FF"/>
            <w:u w:val="single"/>
          </w:rPr>
          <w:t>Access to and quality of sexual and reproductive health services in Britain during the early stages of the COVID-19 pandemic: a qualitative interview study of patient experiences | BMJ Sexual &amp; Reproductive Health</w:t>
        </w:r>
      </w:hyperlink>
    </w:p>
  </w:footnote>
  <w:footnote w:id="12">
    <w:p w14:paraId="64F07497" w14:textId="77777777" w:rsidR="00630AB0" w:rsidRDefault="00630AB0" w:rsidP="00630AB0">
      <w:pPr>
        <w:pStyle w:val="FootnoteText"/>
      </w:pPr>
      <w:r w:rsidRPr="226DBECB">
        <w:rPr>
          <w:rStyle w:val="FootnoteReference"/>
        </w:rPr>
        <w:footnoteRef/>
      </w:r>
      <w:r>
        <w:t xml:space="preserve"> UKHSA (2024) Summary profile of local authority sexual health. </w:t>
      </w:r>
      <w:hyperlink r:id="rId11">
        <w:r w:rsidRPr="226DBECB">
          <w:rPr>
            <w:rStyle w:val="Hyperlink"/>
          </w:rPr>
          <w:t>https://fingertips.phe.org.uk/static-reports/sexualhealth-reports/2024%20update/E10000016.html?area-name=Kent</w:t>
        </w:r>
      </w:hyperlink>
      <w:r>
        <w:t xml:space="preserve"> </w:t>
      </w:r>
    </w:p>
  </w:footnote>
  <w:footnote w:id="13">
    <w:p w14:paraId="77B5AB94" w14:textId="77777777" w:rsidR="00630AB0" w:rsidRDefault="00630AB0" w:rsidP="00630AB0">
      <w:pPr>
        <w:pStyle w:val="FootnoteText"/>
      </w:pPr>
      <w:r w:rsidRPr="226DBECB">
        <w:rPr>
          <w:rStyle w:val="FootnoteReference"/>
        </w:rPr>
        <w:footnoteRef/>
      </w:r>
      <w:r>
        <w:t xml:space="preserve"> BASHH (2024) New STI data for England highlights urgent need for the next generation to prioritise a national sexual health strategy. </w:t>
      </w:r>
      <w:hyperlink r:id="rId12">
        <w:r w:rsidRPr="226DBECB">
          <w:rPr>
            <w:rStyle w:val="Hyperlink"/>
          </w:rPr>
          <w:t>New STI Data for England Highlights Urgent Need for the Next Government to Prioritise A National Sexual Health Strategy | BASHH</w:t>
        </w:r>
      </w:hyperlink>
      <w:r w:rsidRPr="226DBECB">
        <w:t xml:space="preserve"> </w:t>
      </w:r>
    </w:p>
  </w:footnote>
  <w:footnote w:id="14">
    <w:p w14:paraId="0F844E18" w14:textId="77777777" w:rsidR="00630AB0" w:rsidRDefault="00630AB0" w:rsidP="00630AB0">
      <w:pPr>
        <w:pStyle w:val="FootnoteText"/>
      </w:pPr>
      <w:r w:rsidRPr="226DBECB">
        <w:rPr>
          <w:rStyle w:val="FootnoteReference"/>
        </w:rPr>
        <w:footnoteRef/>
      </w:r>
      <w:r>
        <w:t xml:space="preserve"> </w:t>
      </w:r>
      <w:hyperlink r:id="rId13">
        <w:r w:rsidRPr="226DBECB">
          <w:rPr>
            <w:rStyle w:val="Hyperlink"/>
          </w:rPr>
          <w:t>Changes in chemsex and sexual behaviour over time, among a cohort of MSM in London and Brighton: Findings from the AURAH2 study - ScienceDirect</w:t>
        </w:r>
      </w:hyperlink>
    </w:p>
  </w:footnote>
  <w:footnote w:id="15">
    <w:p w14:paraId="61B4B5F9" w14:textId="77777777" w:rsidR="00630AB0" w:rsidRDefault="00630AB0" w:rsidP="00630AB0">
      <w:pPr>
        <w:pStyle w:val="FootnoteText"/>
      </w:pPr>
      <w:r w:rsidRPr="226DBECB">
        <w:rPr>
          <w:rStyle w:val="FootnoteReference"/>
        </w:rPr>
        <w:footnoteRef/>
      </w:r>
      <w:r>
        <w:t xml:space="preserve"> </w:t>
      </w:r>
      <w:hyperlink r:id="rId14">
        <w:r w:rsidRPr="226DBECB">
          <w:rPr>
            <w:rStyle w:val="cf01"/>
            <w:color w:val="0000FF"/>
            <w:u w:val="single"/>
          </w:rPr>
          <w:t>People urged to practise safer sex after rise in STIs in England - GOV.UK (www.gov.uk)</w:t>
        </w:r>
      </w:hyperlink>
    </w:p>
  </w:footnote>
  <w:footnote w:id="16">
    <w:p w14:paraId="6CB607B1" w14:textId="77777777" w:rsidR="00630AB0" w:rsidRDefault="00630AB0" w:rsidP="00630AB0">
      <w:pPr>
        <w:pStyle w:val="FootnoteText"/>
      </w:pPr>
      <w:r w:rsidRPr="226DBECB">
        <w:rPr>
          <w:rStyle w:val="FootnoteReference"/>
        </w:rPr>
        <w:footnoteRef/>
      </w:r>
      <w:r>
        <w:t xml:space="preserve"> </w:t>
      </w:r>
      <w:hyperlink r:id="rId15">
        <w:r w:rsidRPr="226DBECB">
          <w:rPr>
            <w:rStyle w:val="cf01"/>
            <w:color w:val="0000FF"/>
            <w:u w:val="single"/>
          </w:rPr>
          <w:t>Sexual-Health-Policy-Position-Statement-2023.pdf (adph.org.uk)</w:t>
        </w:r>
      </w:hyperlink>
    </w:p>
  </w:footnote>
  <w:footnote w:id="17">
    <w:p w14:paraId="1E520345" w14:textId="77777777" w:rsidR="00630AB0" w:rsidRDefault="00630AB0" w:rsidP="00630AB0">
      <w:pPr>
        <w:pStyle w:val="FootnoteText"/>
      </w:pPr>
      <w:r w:rsidRPr="226DBECB">
        <w:rPr>
          <w:rStyle w:val="FootnoteReference"/>
        </w:rPr>
        <w:footnoteRef/>
      </w:r>
      <w:r>
        <w:t xml:space="preserve"> </w:t>
      </w:r>
      <w:hyperlink r:id="rId16">
        <w:r w:rsidRPr="226DBECB">
          <w:rPr>
            <w:rStyle w:val="cf01"/>
            <w:color w:val="0000FF"/>
            <w:u w:val="single"/>
          </w:rPr>
          <w:t>Grindr Users Take More Risks, but Are More Open to Human Immunodeficiency Virus (HIV) Pre-exposure Prophylaxis: Could This Dating App Provide a Platform for HIV Prevention Outreach? - PubMed (nih.gov)</w:t>
        </w:r>
      </w:hyperlink>
    </w:p>
  </w:footnote>
  <w:footnote w:id="18">
    <w:p w14:paraId="4B542C2E" w14:textId="77777777" w:rsidR="00630AB0" w:rsidRDefault="00630AB0" w:rsidP="00630AB0">
      <w:pPr>
        <w:pStyle w:val="FootnoteText"/>
      </w:pPr>
      <w:r w:rsidRPr="226DBECB">
        <w:rPr>
          <w:rStyle w:val="FootnoteReference"/>
        </w:rPr>
        <w:footnoteRef/>
      </w:r>
      <w:r>
        <w:t xml:space="preserve"> </w:t>
      </w:r>
      <w:hyperlink r:id="rId17">
        <w:r w:rsidRPr="226DBECB">
          <w:rPr>
            <w:rStyle w:val="cf01"/>
            <w:color w:val="0000FF"/>
            <w:u w:val="single"/>
          </w:rPr>
          <w:t xml:space="preserve">“What Are You Looking For?” Investigating the Association Between Dating App Use and Sexual Risk </w:t>
        </w:r>
        <w:proofErr w:type="spellStart"/>
        <w:r w:rsidRPr="226DBECB">
          <w:rPr>
            <w:rStyle w:val="cf01"/>
            <w:color w:val="0000FF"/>
            <w:u w:val="single"/>
          </w:rPr>
          <w:t>Behaviors</w:t>
        </w:r>
        <w:proofErr w:type="spellEnd"/>
        <w:r w:rsidRPr="226DBECB">
          <w:rPr>
            <w:rStyle w:val="cf01"/>
            <w:color w:val="0000FF"/>
            <w:u w:val="single"/>
          </w:rPr>
          <w:t xml:space="preserve"> | Sexual Medicine | Oxford Academic (oup.com)</w:t>
        </w:r>
      </w:hyperlink>
    </w:p>
  </w:footnote>
  <w:footnote w:id="19">
    <w:p w14:paraId="772FD0CD" w14:textId="77777777" w:rsidR="00630AB0" w:rsidRDefault="00630AB0" w:rsidP="00630AB0">
      <w:pPr>
        <w:pStyle w:val="FootnoteText"/>
      </w:pPr>
      <w:r w:rsidRPr="226DBECB">
        <w:rPr>
          <w:rStyle w:val="FootnoteReference"/>
        </w:rPr>
        <w:footnoteRef/>
      </w:r>
      <w:r>
        <w:t xml:space="preserve"> </w:t>
      </w:r>
      <w:hyperlink r:id="rId18" w:anchor="behavioural-factors">
        <w:r w:rsidRPr="226DBECB">
          <w:rPr>
            <w:rStyle w:val="cf01"/>
            <w:color w:val="0000FF"/>
            <w:u w:val="single"/>
          </w:rPr>
          <w:t>Breaking point: Securing the future of sexual health services | Local Government Association</w:t>
        </w:r>
      </w:hyperlink>
    </w:p>
  </w:footnote>
  <w:footnote w:id="20">
    <w:p w14:paraId="006A3E7D" w14:textId="77777777" w:rsidR="00630AB0" w:rsidRDefault="00630AB0" w:rsidP="00630AB0">
      <w:pPr>
        <w:pStyle w:val="FootnoteText"/>
      </w:pPr>
      <w:r w:rsidRPr="226DBECB">
        <w:rPr>
          <w:rStyle w:val="FootnoteReference"/>
        </w:rPr>
        <w:footnoteRef/>
      </w:r>
      <w:r>
        <w:t xml:space="preserve"> </w:t>
      </w:r>
      <w:hyperlink r:id="rId19" w:anchor="data-and-digital">
        <w:r w:rsidRPr="226DBECB">
          <w:rPr>
            <w:rStyle w:val="cf01"/>
            <w:color w:val="0000FF"/>
            <w:u w:val="single"/>
          </w:rPr>
          <w:t>Women's Health Strategy for England - GOV.UK (www.gov.uk)</w:t>
        </w:r>
      </w:hyperlink>
    </w:p>
  </w:footnote>
  <w:footnote w:id="21">
    <w:p w14:paraId="06EBF830" w14:textId="77777777" w:rsidR="00630AB0" w:rsidRDefault="00630AB0" w:rsidP="00630AB0">
      <w:pPr>
        <w:pStyle w:val="FootnoteText"/>
      </w:pPr>
      <w:r w:rsidRPr="226DBECB">
        <w:rPr>
          <w:rStyle w:val="FootnoteReference"/>
        </w:rPr>
        <w:footnoteRef/>
      </w:r>
      <w:r>
        <w:t xml:space="preserve"> </w:t>
      </w:r>
      <w:r w:rsidRPr="226DBECB">
        <w:rPr>
          <w:rStyle w:val="cf01"/>
        </w:rPr>
        <w:t xml:space="preserve">McMillan, C. 2023. Contraception, fertility tracking, and the limits of the medical devices' regulations. Law Technology and humans. Vol 5 (2). Available from: </w:t>
      </w:r>
      <w:hyperlink r:id="rId20">
        <w:r w:rsidRPr="226DBECB">
          <w:rPr>
            <w:rStyle w:val="cf01"/>
            <w:color w:val="0000FF"/>
            <w:u w:val="single"/>
          </w:rPr>
          <w:t>Contraception, Fertility Tracking, and the Limits of Medical Devices Regulation Symposium: Regulatory Futures and Medical Devices 5 Law, Technology and Humans 2023 (heinonline.org)</w:t>
        </w:r>
      </w:hyperlink>
    </w:p>
  </w:footnote>
  <w:footnote w:id="22">
    <w:p w14:paraId="259CF473" w14:textId="77777777" w:rsidR="00630AB0" w:rsidRDefault="00630AB0" w:rsidP="00630AB0">
      <w:pPr>
        <w:pStyle w:val="FootnoteText"/>
      </w:pPr>
      <w:r w:rsidRPr="226DBECB">
        <w:rPr>
          <w:rStyle w:val="FootnoteReference"/>
        </w:rPr>
        <w:footnoteRef/>
      </w:r>
      <w:r>
        <w:t xml:space="preserve"> </w:t>
      </w:r>
      <w:hyperlink r:id="rId21">
        <w:r w:rsidRPr="226DBECB">
          <w:rPr>
            <w:rStyle w:val="cf01"/>
            <w:color w:val="0000FF"/>
            <w:u w:val="single"/>
          </w:rPr>
          <w:t>What lies behind the rise of the contraception app? - BBC News</w:t>
        </w:r>
      </w:hyperlink>
    </w:p>
  </w:footnote>
  <w:footnote w:id="23">
    <w:p w14:paraId="115AA8CC" w14:textId="77777777" w:rsidR="00630AB0" w:rsidRPr="0028296E" w:rsidRDefault="00630AB0" w:rsidP="00630AB0">
      <w:pPr>
        <w:pStyle w:val="pf0"/>
        <w:spacing w:after="240" w:afterAutospacing="0"/>
        <w:rPr>
          <w:rFonts w:ascii="Arial" w:hAnsi="Arial" w:cs="Arial"/>
          <w:sz w:val="18"/>
          <w:szCs w:val="18"/>
        </w:rPr>
      </w:pPr>
      <w:r w:rsidRPr="0028296E">
        <w:rPr>
          <w:rStyle w:val="FootnoteReference"/>
          <w:sz w:val="18"/>
          <w:szCs w:val="18"/>
        </w:rPr>
        <w:footnoteRef/>
      </w:r>
      <w:r w:rsidRPr="0028296E">
        <w:rPr>
          <w:sz w:val="18"/>
          <w:szCs w:val="18"/>
        </w:rPr>
        <w:t xml:space="preserve"> </w:t>
      </w:r>
      <w:hyperlink r:id="rId22" w:anchor="executive-summary" w:history="1">
        <w:r w:rsidRPr="0028296E">
          <w:rPr>
            <w:rStyle w:val="cf01"/>
            <w:color w:val="0000FF"/>
            <w:u w:val="single"/>
          </w:rPr>
          <w:t>Towards Zero - An action plan towards ending HIV transmission, AIDS and HIV-related deaths in England - 2022 to 2025 - GOV.UK (www.gov.uk)</w:t>
        </w:r>
      </w:hyperlink>
      <w:r w:rsidRPr="0028296E">
        <w:rPr>
          <w:rStyle w:val="cf01"/>
        </w:rPr>
        <w:t xml:space="preserve"> </w:t>
      </w:r>
    </w:p>
  </w:footnote>
  <w:footnote w:id="24">
    <w:p w14:paraId="5E0A611A" w14:textId="77777777" w:rsidR="00630AB0" w:rsidRDefault="00630AB0" w:rsidP="00630AB0">
      <w:pPr>
        <w:pStyle w:val="FootnoteText"/>
        <w:spacing w:after="240"/>
      </w:pPr>
      <w:r w:rsidRPr="0028296E">
        <w:rPr>
          <w:rStyle w:val="FootnoteReference"/>
          <w:sz w:val="18"/>
          <w:szCs w:val="18"/>
        </w:rPr>
        <w:footnoteRef/>
      </w:r>
      <w:r w:rsidRPr="0028296E">
        <w:rPr>
          <w:sz w:val="18"/>
          <w:szCs w:val="18"/>
        </w:rPr>
        <w:t xml:space="preserve"> </w:t>
      </w:r>
      <w:hyperlink r:id="rId23" w:history="1">
        <w:r w:rsidRPr="0028296E">
          <w:rPr>
            <w:rStyle w:val="cf01"/>
            <w:color w:val="0000FF"/>
            <w:u w:val="single"/>
          </w:rPr>
          <w:t>Sexual-Health-Policy-Position-Statement-2023.pdf (adph.org.uk)</w:t>
        </w:r>
      </w:hyperlink>
    </w:p>
  </w:footnote>
  <w:footnote w:id="25">
    <w:p w14:paraId="4F3C1379" w14:textId="77777777" w:rsidR="7FF55879" w:rsidRDefault="7FF55879" w:rsidP="00204141">
      <w:pPr>
        <w:pStyle w:val="FootnoteText"/>
      </w:pPr>
      <w:r w:rsidRPr="7FF55879">
        <w:rPr>
          <w:rStyle w:val="FootnoteReference"/>
        </w:rPr>
        <w:footnoteRef/>
      </w:r>
      <w:r>
        <w:t xml:space="preserve"> The Eddystone Trust. 2024. https://eddystone.org.uk/blogs/news-from-the-eddystone-trust/reflections-on-the-annual-hiv-prevention-england-conference-2024</w:t>
      </w:r>
    </w:p>
  </w:footnote>
  <w:footnote w:id="26">
    <w:p w14:paraId="4EC3F634" w14:textId="77777777" w:rsidR="00630AB0" w:rsidRDefault="00630AB0" w:rsidP="00630AB0">
      <w:pPr>
        <w:pStyle w:val="FootnoteText"/>
      </w:pPr>
      <w:r>
        <w:rPr>
          <w:rStyle w:val="FootnoteReference"/>
        </w:rPr>
        <w:footnoteRef/>
      </w:r>
      <w:r>
        <w:t xml:space="preserve"> </w:t>
      </w:r>
      <w:hyperlink r:id="rId24" w:history="1">
        <w:r>
          <w:rPr>
            <w:rStyle w:val="cf01"/>
            <w:color w:val="0000FF"/>
            <w:u w:val="single"/>
          </w:rPr>
          <w:t>Women's Health Strategy for England - GOV.UK (www.gov.uk)</w:t>
        </w:r>
      </w:hyperlink>
    </w:p>
  </w:footnote>
  <w:footnote w:id="27">
    <w:p w14:paraId="4EC8FC49" w14:textId="77777777" w:rsidR="00630AB0" w:rsidRDefault="00630AB0" w:rsidP="00630AB0">
      <w:pPr>
        <w:pStyle w:val="FootnoteText"/>
      </w:pPr>
      <w:r>
        <w:rPr>
          <w:rStyle w:val="FootnoteReference"/>
        </w:rPr>
        <w:footnoteRef/>
      </w:r>
      <w:r>
        <w:t xml:space="preserve"> </w:t>
      </w:r>
      <w:hyperlink r:id="rId25" w:history="1">
        <w:r>
          <w:rPr>
            <w:rStyle w:val="cf01"/>
            <w:color w:val="0000FF"/>
            <w:u w:val="single"/>
          </w:rPr>
          <w:t>Relationships and sex education (RSE) and health education - GOV.UK (www.gov.uk)</w:t>
        </w:r>
      </w:hyperlink>
    </w:p>
  </w:footnote>
  <w:footnote w:id="28">
    <w:p w14:paraId="0F835CBB" w14:textId="77777777" w:rsidR="00630AB0" w:rsidRDefault="00630AB0" w:rsidP="00630AB0">
      <w:pPr>
        <w:pStyle w:val="FootnoteText"/>
      </w:pPr>
      <w:r>
        <w:rPr>
          <w:rStyle w:val="FootnoteReference"/>
        </w:rPr>
        <w:footnoteRef/>
      </w:r>
      <w:r>
        <w:t xml:space="preserve"> </w:t>
      </w:r>
      <w:hyperlink r:id="rId26" w:anchor="education-and-training-for-health-and-care-professionals" w:history="1">
        <w:r>
          <w:rPr>
            <w:rStyle w:val="cf01"/>
            <w:color w:val="0000FF"/>
            <w:u w:val="single"/>
          </w:rPr>
          <w:t>Women's Health Strategy for England - GOV.UK (www.gov.uk)</w:t>
        </w:r>
      </w:hyperlink>
    </w:p>
  </w:footnote>
  <w:footnote w:id="29">
    <w:p w14:paraId="3D892E1A" w14:textId="77777777" w:rsidR="00630AB0" w:rsidRDefault="00630AB0" w:rsidP="00630AB0">
      <w:pPr>
        <w:pStyle w:val="FootnoteText"/>
      </w:pPr>
      <w:r>
        <w:rPr>
          <w:rStyle w:val="FootnoteReference"/>
        </w:rPr>
        <w:footnoteRef/>
      </w:r>
      <w:r>
        <w:t xml:space="preserve"> </w:t>
      </w:r>
      <w:hyperlink r:id="rId27" w:history="1">
        <w:r>
          <w:rPr>
            <w:rStyle w:val="cf01"/>
            <w:color w:val="0000FF"/>
            <w:u w:val="single"/>
          </w:rPr>
          <w:t>Impact of the COVID-19 pandemic on access to and utilisation of services for sexual and reproductive health: a scoping review - PMC (nih.gov)</w:t>
        </w:r>
      </w:hyperlink>
    </w:p>
  </w:footnote>
  <w:footnote w:id="30">
    <w:p w14:paraId="52BA6FD0" w14:textId="77777777" w:rsidR="00630AB0" w:rsidRDefault="00630AB0" w:rsidP="00630AB0">
      <w:pPr>
        <w:pStyle w:val="FootnoteText"/>
      </w:pPr>
      <w:r>
        <w:rPr>
          <w:rStyle w:val="FootnoteReference"/>
        </w:rPr>
        <w:footnoteRef/>
      </w:r>
      <w:r>
        <w:t xml:space="preserve"> </w:t>
      </w:r>
      <w:hyperlink r:id="rId28" w:history="1">
        <w:r>
          <w:rPr>
            <w:rStyle w:val="cf01"/>
            <w:color w:val="0000FF"/>
            <w:u w:val="single"/>
          </w:rPr>
          <w:t>[Withdrawn] Temporary approval of home use for both stages of early medical abortion - GOV.UK (www.gov.uk)</w:t>
        </w:r>
      </w:hyperlink>
    </w:p>
  </w:footnote>
  <w:footnote w:id="31">
    <w:p w14:paraId="55606CA2" w14:textId="77777777" w:rsidR="00630AB0" w:rsidRDefault="00630AB0" w:rsidP="00630AB0">
      <w:pPr>
        <w:pStyle w:val="FootnoteText"/>
      </w:pPr>
      <w:r>
        <w:rPr>
          <w:rStyle w:val="FootnoteReference"/>
        </w:rPr>
        <w:footnoteRef/>
      </w:r>
      <w:r>
        <w:t xml:space="preserve"> </w:t>
      </w:r>
      <w:hyperlink r:id="rId29" w:history="1">
        <w:r>
          <w:rPr>
            <w:rStyle w:val="cf01"/>
            <w:color w:val="0000FF"/>
            <w:u w:val="single"/>
          </w:rPr>
          <w:t>At home early medical abortions made permanent in England and Wales - GOV.UK (www.gov.uk)</w:t>
        </w:r>
      </w:hyperlink>
    </w:p>
  </w:footnote>
  <w:footnote w:id="32">
    <w:p w14:paraId="6F34562B" w14:textId="77777777" w:rsidR="00630AB0" w:rsidRPr="00EC2C9D" w:rsidRDefault="00630AB0" w:rsidP="00630AB0">
      <w:pPr>
        <w:pStyle w:val="pf0"/>
        <w:spacing w:before="0" w:beforeAutospacing="0"/>
        <w:rPr>
          <w:rFonts w:ascii="Arial" w:hAnsi="Arial" w:cs="Arial"/>
          <w:sz w:val="20"/>
          <w:szCs w:val="20"/>
        </w:rPr>
      </w:pPr>
      <w:r w:rsidRPr="00EC2C9D">
        <w:rPr>
          <w:rStyle w:val="FootnoteReference"/>
          <w:sz w:val="20"/>
          <w:szCs w:val="20"/>
        </w:rPr>
        <w:footnoteRef/>
      </w:r>
      <w:r w:rsidRPr="00EC2C9D">
        <w:rPr>
          <w:sz w:val="20"/>
          <w:szCs w:val="20"/>
        </w:rPr>
        <w:t xml:space="preserve"> </w:t>
      </w:r>
      <w:hyperlink r:id="rId30" w:history="1">
        <w:r>
          <w:rPr>
            <w:rStyle w:val="cf01"/>
            <w:color w:val="0000FF"/>
            <w:u w:val="single"/>
          </w:rPr>
          <w:t>Safeguarding guidance for children and young people under 18 accessing early medical abortion services - RCPCH Child Protection Portal</w:t>
        </w:r>
      </w:hyperlink>
      <w:r>
        <w:rPr>
          <w:rStyle w:val="cf01"/>
        </w:rPr>
        <w:t xml:space="preserve"> </w:t>
      </w:r>
    </w:p>
  </w:footnote>
  <w:footnote w:id="33">
    <w:p w14:paraId="45DAAF39" w14:textId="77777777" w:rsidR="00630AB0" w:rsidRDefault="00630AB0" w:rsidP="00630AB0">
      <w:pPr>
        <w:pStyle w:val="FootnoteText"/>
      </w:pPr>
      <w:r>
        <w:rPr>
          <w:rStyle w:val="FootnoteReference"/>
        </w:rPr>
        <w:footnoteRef/>
      </w:r>
      <w:r>
        <w:t xml:space="preserve"> </w:t>
      </w:r>
      <w:hyperlink r:id="rId31" w:history="1">
        <w:r>
          <w:rPr>
            <w:rStyle w:val="cf01"/>
            <w:color w:val="0000FF"/>
            <w:u w:val="single"/>
          </w:rPr>
          <w:t>NHS England » Improving abortion care letter</w:t>
        </w:r>
      </w:hyperlink>
    </w:p>
  </w:footnote>
  <w:footnote w:id="34">
    <w:p w14:paraId="7181046E" w14:textId="77777777" w:rsidR="00630AB0" w:rsidRPr="00EC2C9D" w:rsidRDefault="00630AB0" w:rsidP="00630AB0">
      <w:pPr>
        <w:pStyle w:val="pf0"/>
        <w:spacing w:before="0" w:beforeAutospacing="0"/>
        <w:rPr>
          <w:rFonts w:ascii="Arial" w:hAnsi="Arial" w:cs="Arial"/>
          <w:sz w:val="20"/>
          <w:szCs w:val="20"/>
        </w:rPr>
      </w:pPr>
      <w:r w:rsidRPr="00EC2C9D">
        <w:rPr>
          <w:rStyle w:val="FootnoteReference"/>
          <w:sz w:val="20"/>
          <w:szCs w:val="20"/>
        </w:rPr>
        <w:footnoteRef/>
      </w:r>
      <w:r w:rsidRPr="00EC2C9D">
        <w:rPr>
          <w:sz w:val="20"/>
          <w:szCs w:val="20"/>
        </w:rPr>
        <w:t xml:space="preserve"> </w:t>
      </w:r>
      <w:hyperlink r:id="rId32" w:history="1">
        <w:r>
          <w:rPr>
            <w:rStyle w:val="cf01"/>
            <w:color w:val="0000FF"/>
            <w:u w:val="single"/>
          </w:rPr>
          <w:t>Pharmacy First letter to contractors - GOV.UK (www.gov.uk)</w:t>
        </w:r>
      </w:hyperlink>
      <w:r>
        <w:rPr>
          <w:rStyle w:val="cf01"/>
        </w:rPr>
        <w:t xml:space="preserve"> </w:t>
      </w:r>
    </w:p>
  </w:footnote>
  <w:footnote w:id="35">
    <w:p w14:paraId="7D93F149" w14:textId="77777777" w:rsidR="00630AB0" w:rsidRDefault="00630AB0" w:rsidP="00630AB0">
      <w:pPr>
        <w:pStyle w:val="FootnoteText"/>
      </w:pPr>
      <w:r>
        <w:rPr>
          <w:rStyle w:val="FootnoteReference"/>
        </w:rPr>
        <w:footnoteRef/>
      </w:r>
      <w:r>
        <w:t xml:space="preserve"> </w:t>
      </w:r>
      <w:hyperlink r:id="rId33" w:history="1">
        <w:r>
          <w:rPr>
            <w:rStyle w:val="cf01"/>
            <w:color w:val="0000FF"/>
            <w:u w:val="single"/>
          </w:rPr>
          <w:t>Pharmacy Contraception Service - Community Pharmacy England (cpe.org.uk)</w:t>
        </w:r>
      </w:hyperlink>
    </w:p>
  </w:footnote>
  <w:footnote w:id="36">
    <w:p w14:paraId="2F9C6B24" w14:textId="77777777" w:rsidR="00630AB0" w:rsidRDefault="00630AB0" w:rsidP="00630AB0">
      <w:pPr>
        <w:pStyle w:val="FootnoteText"/>
      </w:pPr>
      <w:r>
        <w:rPr>
          <w:rStyle w:val="FootnoteReference"/>
        </w:rPr>
        <w:footnoteRef/>
      </w:r>
      <w:r>
        <w:t xml:space="preserve"> </w:t>
      </w:r>
      <w:hyperlink r:id="rId34" w:anchor=":~:text=From%201%20December%202023%20the,GP%20or%20sexual%20health%20clinic." w:history="1">
        <w:r>
          <w:rPr>
            <w:rStyle w:val="cf01"/>
            <w:color w:val="0000FF"/>
            <w:u w:val="single"/>
          </w:rPr>
          <w:t>NHS England » NHS Pharmacy Contraception Service</w:t>
        </w:r>
      </w:hyperlink>
    </w:p>
  </w:footnote>
  <w:footnote w:id="37">
    <w:p w14:paraId="1EC71407" w14:textId="77777777" w:rsidR="00630AB0" w:rsidRDefault="00630AB0" w:rsidP="00630AB0">
      <w:pPr>
        <w:pStyle w:val="FootnoteText"/>
      </w:pPr>
      <w:r>
        <w:rPr>
          <w:rStyle w:val="FootnoteReference"/>
        </w:rPr>
        <w:footnoteRef/>
      </w:r>
      <w:r>
        <w:t xml:space="preserve"> </w:t>
      </w:r>
      <w:hyperlink r:id="rId35" w:history="1">
        <w:r>
          <w:rPr>
            <w:rStyle w:val="cf01"/>
            <w:color w:val="0000FF"/>
            <w:u w:val="single"/>
          </w:rPr>
          <w:t>FSRH CEU Statement: Mirena 8 years contraception (Jan 2024) - Faculty of Sexual and Reproductive Healthcare</w:t>
        </w:r>
      </w:hyperlink>
    </w:p>
  </w:footnote>
  <w:footnote w:id="38">
    <w:p w14:paraId="5658231D" w14:textId="77777777" w:rsidR="00630AB0" w:rsidRDefault="00630AB0" w:rsidP="00630AB0">
      <w:pPr>
        <w:pStyle w:val="FootnoteText"/>
      </w:pPr>
      <w:r>
        <w:rPr>
          <w:rStyle w:val="FootnoteReference"/>
        </w:rPr>
        <w:footnoteRef/>
      </w:r>
      <w:r>
        <w:t xml:space="preserve"> </w:t>
      </w:r>
      <w:hyperlink r:id="rId36" w:history="1">
        <w:r>
          <w:rPr>
            <w:rStyle w:val="cf01"/>
            <w:color w:val="0000FF"/>
            <w:u w:val="single"/>
          </w:rPr>
          <w:t>Mpox (monkeypox): background information - GOV.UK (www.gov.uk)</w:t>
        </w:r>
      </w:hyperlink>
    </w:p>
  </w:footnote>
  <w:footnote w:id="39">
    <w:p w14:paraId="0E47EFD2" w14:textId="77777777" w:rsidR="00630AB0" w:rsidRDefault="00630AB0" w:rsidP="00630AB0">
      <w:pPr>
        <w:pStyle w:val="FootnoteText"/>
      </w:pPr>
      <w:r>
        <w:rPr>
          <w:rStyle w:val="FootnoteReference"/>
        </w:rPr>
        <w:footnoteRef/>
      </w:r>
      <w:r>
        <w:t xml:space="preserve"> </w:t>
      </w:r>
      <w:hyperlink r:id="rId37" w:history="1">
        <w:r>
          <w:rPr>
            <w:rStyle w:val="cf01"/>
            <w:color w:val="0000FF"/>
            <w:u w:val="single"/>
          </w:rPr>
          <w:t>Mpox (monkeypox) outbreak: vaccination strategy - GOV.UK (www.gov.uk)</w:t>
        </w:r>
      </w:hyperlink>
    </w:p>
  </w:footnote>
  <w:footnote w:id="40">
    <w:p w14:paraId="78C80E6C" w14:textId="77777777" w:rsidR="00630AB0" w:rsidRDefault="00630AB0" w:rsidP="00630AB0">
      <w:pPr>
        <w:pStyle w:val="FootnoteText"/>
      </w:pPr>
      <w:r>
        <w:rPr>
          <w:rStyle w:val="FootnoteReference"/>
        </w:rPr>
        <w:footnoteRef/>
      </w:r>
      <w:r>
        <w:t xml:space="preserve"> </w:t>
      </w:r>
      <w:hyperlink r:id="rId38" w:history="1">
        <w:r>
          <w:rPr>
            <w:rStyle w:val="cf01"/>
            <w:color w:val="0000FF"/>
            <w:u w:val="single"/>
          </w:rPr>
          <w:t>Rapid reconfiguration of sexual health services in response to UK autochthonous transmission of mpox (monkeypox) | Sexually Transmitted Infections (bmj.com)</w:t>
        </w:r>
      </w:hyperlink>
    </w:p>
  </w:footnote>
  <w:footnote w:id="41">
    <w:p w14:paraId="2DDE3BD9" w14:textId="77777777" w:rsidR="00630AB0" w:rsidRDefault="00630AB0" w:rsidP="00630AB0">
      <w:pPr>
        <w:pStyle w:val="FootnoteText"/>
      </w:pPr>
      <w:r>
        <w:rPr>
          <w:rStyle w:val="FootnoteReference"/>
        </w:rPr>
        <w:footnoteRef/>
      </w:r>
      <w:r>
        <w:t xml:space="preserve"> </w:t>
      </w:r>
      <w:hyperlink r:id="rId39" w:history="1">
        <w:r>
          <w:rPr>
            <w:rStyle w:val="cf01"/>
            <w:color w:val="0000FF"/>
            <w:u w:val="single"/>
          </w:rPr>
          <w:t>Councils warn of pressure on sexual health services due to rising number of Monkeypox cases | Local Government Association</w:t>
        </w:r>
      </w:hyperlink>
    </w:p>
  </w:footnote>
  <w:footnote w:id="42">
    <w:p w14:paraId="41AABBFD" w14:textId="77777777" w:rsidR="00245AAD" w:rsidRDefault="00245AAD">
      <w:pPr>
        <w:pStyle w:val="FootnoteText"/>
      </w:pPr>
      <w:r>
        <w:rPr>
          <w:rStyle w:val="FootnoteReference"/>
        </w:rPr>
        <w:footnoteRef/>
      </w:r>
      <w:r>
        <w:t xml:space="preserve"> </w:t>
      </w:r>
      <w:hyperlink r:id="rId40" w:history="1">
        <w:r w:rsidRPr="00A5033D">
          <w:rPr>
            <w:rStyle w:val="Hyperlink"/>
          </w:rPr>
          <w:t>https://www.gov.uk/government/news/who-declares-mpox-outbreak-a-public-health-emergency-of-international-concern</w:t>
        </w:r>
      </w:hyperlink>
      <w:r>
        <w:t xml:space="preserve"> </w:t>
      </w:r>
    </w:p>
  </w:footnote>
  <w:footnote w:id="43">
    <w:p w14:paraId="4DFAAFAD" w14:textId="77777777" w:rsidR="00630AB0" w:rsidRDefault="00630AB0" w:rsidP="00630AB0">
      <w:pPr>
        <w:pStyle w:val="FootnoteText"/>
      </w:pPr>
      <w:r>
        <w:rPr>
          <w:rStyle w:val="FootnoteReference"/>
        </w:rPr>
        <w:footnoteRef/>
      </w:r>
      <w:r>
        <w:t xml:space="preserve"> </w:t>
      </w:r>
      <w:hyperlink r:id="rId41" w:history="1">
        <w:r>
          <w:rPr>
            <w:rStyle w:val="cf01"/>
            <w:color w:val="0000FF"/>
            <w:u w:val="single"/>
          </w:rPr>
          <w:t>Investing in the public health grant</w:t>
        </w:r>
      </w:hyperlink>
    </w:p>
  </w:footnote>
  <w:footnote w:id="44">
    <w:p w14:paraId="253266BA" w14:textId="77777777" w:rsidR="00630AB0" w:rsidRDefault="00630AB0" w:rsidP="00630AB0">
      <w:pPr>
        <w:pStyle w:val="FootnoteText"/>
      </w:pPr>
      <w:r>
        <w:rPr>
          <w:rStyle w:val="FootnoteReference"/>
        </w:rPr>
        <w:footnoteRef/>
      </w:r>
      <w:r>
        <w:t xml:space="preserve"> </w:t>
      </w:r>
      <w:hyperlink r:id="rId42" w:anchor="behavioural-factors" w:history="1">
        <w:r>
          <w:rPr>
            <w:rStyle w:val="cf01"/>
            <w:color w:val="0000FF"/>
            <w:u w:val="single"/>
          </w:rPr>
          <w:t>Breaking point: Securing the future of sexual health services | Local Government Association</w:t>
        </w:r>
      </w:hyperlink>
    </w:p>
  </w:footnote>
  <w:footnote w:id="45">
    <w:p w14:paraId="199BB01C" w14:textId="77777777" w:rsidR="00630AB0" w:rsidRPr="00A0719A" w:rsidRDefault="00630AB0" w:rsidP="00630AB0">
      <w:pPr>
        <w:rPr>
          <w:sz w:val="18"/>
          <w:szCs w:val="18"/>
        </w:rPr>
      </w:pPr>
      <w:r w:rsidRPr="00A0719A">
        <w:rPr>
          <w:rStyle w:val="FootnoteReference"/>
          <w:sz w:val="18"/>
          <w:szCs w:val="18"/>
        </w:rPr>
        <w:footnoteRef/>
      </w:r>
      <w:r w:rsidRPr="00A0719A">
        <w:rPr>
          <w:sz w:val="18"/>
          <w:szCs w:val="18"/>
        </w:rPr>
        <w:t xml:space="preserve"> Kent County Council (2023). What is causing Kent’s population growth? 2022. Kent Analytics. Available from: </w:t>
      </w:r>
      <w:hyperlink r:id="rId43">
        <w:r w:rsidRPr="00A0719A">
          <w:rPr>
            <w:rStyle w:val="Hyperlink"/>
            <w:sz w:val="18"/>
            <w:szCs w:val="18"/>
          </w:rPr>
          <w:t>https://www.kent.gov.uk/__data/assets/pdf_file/0004/8149/Whats-causing-Kents-population-growth.pdf</w:t>
        </w:r>
      </w:hyperlink>
      <w:r w:rsidRPr="00A0719A">
        <w:rPr>
          <w:sz w:val="18"/>
          <w:szCs w:val="18"/>
        </w:rPr>
        <w:t xml:space="preserve"> </w:t>
      </w:r>
    </w:p>
  </w:footnote>
  <w:footnote w:id="46">
    <w:p w14:paraId="04BFE10A" w14:textId="77777777" w:rsidR="00630AB0" w:rsidRDefault="00630AB0" w:rsidP="00630AB0">
      <w:pPr>
        <w:pStyle w:val="FootnoteText"/>
      </w:pPr>
      <w:r w:rsidRPr="00A0719A">
        <w:rPr>
          <w:rStyle w:val="FootnoteReference"/>
        </w:rPr>
        <w:footnoteRef/>
      </w:r>
      <w:r w:rsidRPr="00A0719A">
        <w:t xml:space="preserve"> Kent County Council (2024) Births and Deaths in Kent: 2022. </w:t>
      </w:r>
      <w:hyperlink r:id="rId44">
        <w:r w:rsidRPr="00A0719A">
          <w:rPr>
            <w:rStyle w:val="Hyperlink"/>
          </w:rPr>
          <w:t>https://www.kent.gov.uk/__data/assets/pdf_file/0003/13827/Births-and-deaths-bulletin.pdf</w:t>
        </w:r>
      </w:hyperlink>
    </w:p>
  </w:footnote>
  <w:footnote w:id="47">
    <w:p w14:paraId="5028FF51" w14:textId="77777777" w:rsidR="00630AB0" w:rsidRDefault="00630AB0" w:rsidP="00630AB0">
      <w:pPr>
        <w:pStyle w:val="FootnoteText"/>
      </w:pPr>
      <w:r>
        <w:rPr>
          <w:rStyle w:val="FootnoteReference"/>
        </w:rPr>
        <w:footnoteRef/>
      </w:r>
      <w:r>
        <w:t xml:space="preserve"> Office of National Statistics 2022 People Population and Community </w:t>
      </w:r>
      <w:hyperlink r:id="rId45" w:history="1">
        <w:r w:rsidRPr="00EF55F0">
          <w:rPr>
            <w:rStyle w:val="Hyperlink"/>
          </w:rPr>
          <w:t>https://www.ons.gov.uk/peoplepopulationandcommunity/birthsdeathsandmarriages/livebirths/bulletins/birthsummarytablesenglandandwales/2022refreshedpopulations</w:t>
        </w:r>
      </w:hyperlink>
      <w:r>
        <w:t xml:space="preserve"> </w:t>
      </w:r>
    </w:p>
  </w:footnote>
  <w:footnote w:id="48">
    <w:p w14:paraId="4FD7B997" w14:textId="77777777" w:rsidR="00630AB0" w:rsidRDefault="00630AB0" w:rsidP="00630AB0">
      <w:pPr>
        <w:pStyle w:val="FootnoteText"/>
      </w:pPr>
      <w:r>
        <w:rPr>
          <w:rStyle w:val="FootnoteReference"/>
        </w:rPr>
        <w:footnoteRef/>
      </w:r>
      <w:r>
        <w:t xml:space="preserve"> Gietel-Baston et al (2022)</w:t>
      </w:r>
      <w:r w:rsidRPr="00C60186">
        <w:t xml:space="preserve"> </w:t>
      </w:r>
      <w:r>
        <w:t>‘</w:t>
      </w:r>
      <w:r w:rsidRPr="00C60186">
        <w:t>Changing the perspective on low birth rates: why simplistic solutions won’t work</w:t>
      </w:r>
      <w:r>
        <w:t xml:space="preserve">’  </w:t>
      </w:r>
      <w:hyperlink r:id="rId46" w:history="1">
        <w:r w:rsidRPr="00EF55F0">
          <w:rPr>
            <w:rStyle w:val="Hyperlink"/>
          </w:rPr>
          <w:t>https://www.bmj.com/content/379/bmj-2022-072670</w:t>
        </w:r>
      </w:hyperlink>
      <w:r>
        <w:t xml:space="preserve"> </w:t>
      </w:r>
    </w:p>
  </w:footnote>
  <w:footnote w:id="49">
    <w:p w14:paraId="21F7B6AA" w14:textId="77777777" w:rsidR="00630AB0" w:rsidRDefault="00630AB0" w:rsidP="00630AB0">
      <w:pPr>
        <w:pStyle w:val="FootnoteText"/>
      </w:pPr>
      <w:r w:rsidRPr="4236E1AA">
        <w:rPr>
          <w:rStyle w:val="FootnoteReference"/>
        </w:rPr>
        <w:footnoteRef/>
      </w:r>
      <w:r>
        <w:t xml:space="preserve"> Kent County Council (2024) Time series of Mid-year population estimates 2003-2023. </w:t>
      </w:r>
      <w:hyperlink r:id="rId47">
        <w:r w:rsidRPr="4236E1AA">
          <w:rPr>
            <w:rStyle w:val="Hyperlink"/>
          </w:rPr>
          <w:t>Time series of Mid-year population estimates 2003 to 2023 (kent.gov.uk)</w:t>
        </w:r>
      </w:hyperlink>
    </w:p>
  </w:footnote>
  <w:footnote w:id="50">
    <w:p w14:paraId="3727654F" w14:textId="77777777" w:rsidR="00D15EDD" w:rsidRDefault="00D15EDD" w:rsidP="00D15EDD">
      <w:pPr>
        <w:pStyle w:val="FootnoteText"/>
      </w:pPr>
      <w:r w:rsidRPr="226DBECB">
        <w:rPr>
          <w:rStyle w:val="FootnoteReference"/>
        </w:rPr>
        <w:footnoteRef/>
      </w:r>
      <w:r>
        <w:t xml:space="preserve"> Public Health England (2021) Variation in outcomes in sexual and reproductive health in England: A tool kit to explore inequalities at a local level. </w:t>
      </w:r>
      <w:hyperlink r:id="rId48">
        <w:r w:rsidRPr="226DBECB">
          <w:rPr>
            <w:rStyle w:val="Hyperlink"/>
          </w:rPr>
          <w:t>https://assets.publishing.service.gov.uk/media/60955c3de90e073573036703/SRH_variation_in_outcomes_toolkit_May_2021.pdf</w:t>
        </w:r>
      </w:hyperlink>
      <w:r>
        <w:t xml:space="preserve"> </w:t>
      </w:r>
    </w:p>
  </w:footnote>
  <w:footnote w:id="51">
    <w:p w14:paraId="7D666176" w14:textId="77777777" w:rsidR="00D15EDD" w:rsidRDefault="00D15EDD" w:rsidP="00D15EDD">
      <w:pPr>
        <w:pStyle w:val="FootnoteText"/>
      </w:pPr>
      <w:r w:rsidRPr="226DBECB">
        <w:rPr>
          <w:rStyle w:val="FootnoteReference"/>
        </w:rPr>
        <w:footnoteRef/>
      </w:r>
      <w:r>
        <w:t xml:space="preserve"> Kings Fund (2022) What are health inequalities? </w:t>
      </w:r>
      <w:hyperlink r:id="rId49">
        <w:r w:rsidRPr="226DBECB">
          <w:rPr>
            <w:rStyle w:val="Hyperlink"/>
          </w:rPr>
          <w:t>https://www.kingsfund.org.uk/insight-and-analysis/long-reads/what-are-health-inequalities</w:t>
        </w:r>
      </w:hyperlink>
      <w:r>
        <w:t xml:space="preserve"> </w:t>
      </w:r>
    </w:p>
  </w:footnote>
  <w:footnote w:id="52">
    <w:p w14:paraId="5BB5DCEF" w14:textId="77777777" w:rsidR="00D15EDD" w:rsidRDefault="00D15EDD" w:rsidP="00D15EDD">
      <w:pPr>
        <w:pStyle w:val="FootnoteText"/>
      </w:pPr>
      <w:r>
        <w:rPr>
          <w:rStyle w:val="FootnoteReference"/>
        </w:rPr>
        <w:footnoteRef/>
      </w:r>
      <w:r>
        <w:t xml:space="preserve"> </w:t>
      </w:r>
      <w:hyperlink r:id="rId50" w:history="1">
        <w:r w:rsidRPr="00A7468E">
          <w:rPr>
            <w:rStyle w:val="Hyperlink"/>
          </w:rPr>
          <w:t>Variation in outcomes in sexual and reproductive health in England 2021 (publishing.service.gov.uk)</w:t>
        </w:r>
      </w:hyperlink>
    </w:p>
  </w:footnote>
  <w:footnote w:id="53">
    <w:p w14:paraId="6AE99A68" w14:textId="77777777" w:rsidR="00D15EDD" w:rsidRDefault="00D15EDD" w:rsidP="00D15EDD">
      <w:pPr>
        <w:pStyle w:val="FootnoteText"/>
      </w:pPr>
      <w:r>
        <w:rPr>
          <w:rStyle w:val="FootnoteReference"/>
        </w:rPr>
        <w:footnoteRef/>
      </w:r>
      <w:r>
        <w:t xml:space="preserve"> </w:t>
      </w:r>
      <w:hyperlink r:id="rId51" w:anchor=":~:text=Young%20people%20under%20the%20age,risk%20of%20adverse%20sexual%20health." w:history="1">
        <w:r w:rsidRPr="009113D0">
          <w:rPr>
            <w:rStyle w:val="Hyperlink"/>
          </w:rPr>
          <w:t>Introduction - Sexual health promotion for young people delivered via digital media: a scoping review - NCBI Bookshelf (nih.gov)</w:t>
        </w:r>
      </w:hyperlink>
    </w:p>
  </w:footnote>
  <w:footnote w:id="54">
    <w:p w14:paraId="1ED582F7" w14:textId="77777777" w:rsidR="00D15EDD" w:rsidRDefault="00D15EDD" w:rsidP="00D15EDD">
      <w:pPr>
        <w:pStyle w:val="FootnoteText"/>
      </w:pPr>
      <w:r w:rsidRPr="368D9D21">
        <w:rPr>
          <w:rStyle w:val="FootnoteReference"/>
        </w:rPr>
        <w:footnoteRef/>
      </w:r>
      <w:r>
        <w:t xml:space="preserve"> Bailey, J et al (2015) Sexual health promotion for young people delivered via digital media: a scoping review. </w:t>
      </w:r>
      <w:hyperlink r:id="rId52">
        <w:r w:rsidRPr="368D9D21">
          <w:rPr>
            <w:rStyle w:val="Hyperlink"/>
          </w:rPr>
          <w:t>https://www.ncbi.nlm.nih.gov/books/NBK326982/</w:t>
        </w:r>
      </w:hyperlink>
      <w:r>
        <w:t xml:space="preserve"> </w:t>
      </w:r>
    </w:p>
    <w:p w14:paraId="000E08E3" w14:textId="77777777" w:rsidR="00D15EDD" w:rsidRDefault="00D15EDD" w:rsidP="00D15EDD">
      <w:pPr>
        <w:pStyle w:val="FootnoteText"/>
      </w:pPr>
    </w:p>
  </w:footnote>
  <w:footnote w:id="55">
    <w:p w14:paraId="3577A70F" w14:textId="77777777" w:rsidR="00D15EDD" w:rsidRDefault="00D15EDD" w:rsidP="00D15EDD">
      <w:pPr>
        <w:pStyle w:val="FootnoteText"/>
      </w:pPr>
      <w:r w:rsidRPr="368D9D21">
        <w:rPr>
          <w:rStyle w:val="FootnoteReference"/>
        </w:rPr>
        <w:footnoteRef/>
      </w:r>
      <w:r>
        <w:t xml:space="preserve"> UK Parliament (2024) The prevalence of sexually transmitted infections in young people and other high risk groups – Report Summary </w:t>
      </w:r>
      <w:hyperlink r:id="rId53">
        <w:r w:rsidRPr="368D9D21">
          <w:rPr>
            <w:rStyle w:val="Hyperlink"/>
          </w:rPr>
          <w:t>https://publications.parliament.uk/pa/cm5804/cmselect/cmwomeq/463/summary.html</w:t>
        </w:r>
      </w:hyperlink>
      <w:r>
        <w:t xml:space="preserve"> </w:t>
      </w:r>
    </w:p>
  </w:footnote>
  <w:footnote w:id="56">
    <w:p w14:paraId="4A50C5F0" w14:textId="77777777" w:rsidR="00D15EDD" w:rsidRDefault="00D15EDD" w:rsidP="00D15EDD">
      <w:pPr>
        <w:pStyle w:val="FootnoteText"/>
      </w:pPr>
      <w:r>
        <w:rPr>
          <w:rStyle w:val="FootnoteReference"/>
        </w:rPr>
        <w:footnoteRef/>
      </w:r>
      <w:r>
        <w:t xml:space="preserve"> </w:t>
      </w:r>
      <w:r w:rsidRPr="00E92728">
        <w:t xml:space="preserve">The English Indices of Deprivation 2019 - Statistical Release, Ministry of Housing Communities and Local Government, London, 2019, </w:t>
      </w:r>
      <w:hyperlink r:id="rId54" w:history="1">
        <w:r w:rsidRPr="00416EF3">
          <w:rPr>
            <w:rStyle w:val="Hyperlink"/>
          </w:rPr>
          <w:t>https://assets.publishing.service.gov.uk/government/uploads/system/uploads/attachment_data/file/835115/IoD2019_Statistical_Release.pdf</w:t>
        </w:r>
      </w:hyperlink>
      <w:r>
        <w:t xml:space="preserve">, </w:t>
      </w:r>
      <w:r w:rsidRPr="00E92728">
        <w:t xml:space="preserve"> [accessed on: </w:t>
      </w:r>
      <w:r>
        <w:t>28</w:t>
      </w:r>
      <w:r w:rsidRPr="00E92728">
        <w:t>/</w:t>
      </w:r>
      <w:r>
        <w:t>05</w:t>
      </w:r>
      <w:r w:rsidRPr="00E92728">
        <w:t>/202</w:t>
      </w:r>
      <w:r>
        <w:t>4</w:t>
      </w:r>
      <w:r w:rsidRPr="00E92728">
        <w:t>]</w:t>
      </w:r>
    </w:p>
  </w:footnote>
  <w:footnote w:id="57">
    <w:p w14:paraId="17C66759" w14:textId="77777777" w:rsidR="00D15EDD" w:rsidRDefault="00D15EDD" w:rsidP="00D15EDD">
      <w:pPr>
        <w:pStyle w:val="FootnoteText"/>
      </w:pPr>
      <w:r>
        <w:rPr>
          <w:rStyle w:val="FootnoteReference"/>
        </w:rPr>
        <w:footnoteRef/>
      </w:r>
      <w:r>
        <w:t xml:space="preserve"> </w:t>
      </w:r>
      <w:hyperlink r:id="rId55" w:history="1">
        <w:r w:rsidRPr="00192378">
          <w:rPr>
            <w:rStyle w:val="Hyperlink"/>
          </w:rPr>
          <w:t>HIV infection with late diagnosis - GOV.UK Ethnicity facts and figures (ethnicity-facts-figures.service.gov.uk)</w:t>
        </w:r>
      </w:hyperlink>
    </w:p>
  </w:footnote>
  <w:footnote w:id="58">
    <w:p w14:paraId="31778F09" w14:textId="77777777" w:rsidR="00D15EDD" w:rsidRDefault="00D15EDD" w:rsidP="00D15EDD">
      <w:pPr>
        <w:pStyle w:val="FootnoteText"/>
      </w:pPr>
      <w:r>
        <w:rPr>
          <w:rStyle w:val="FootnoteReference"/>
        </w:rPr>
        <w:footnoteRef/>
      </w:r>
      <w:r>
        <w:t xml:space="preserve"> </w:t>
      </w:r>
      <w:hyperlink r:id="rId56" w:history="1">
        <w:r w:rsidRPr="0056068B">
          <w:rPr>
            <w:rStyle w:val="Hyperlink"/>
          </w:rPr>
          <w:t>Census - Office for National Statistics (ons.gov.uk)</w:t>
        </w:r>
      </w:hyperlink>
    </w:p>
  </w:footnote>
  <w:footnote w:id="59">
    <w:p w14:paraId="52B70D9B" w14:textId="77777777" w:rsidR="00D15EDD" w:rsidRDefault="00D15EDD" w:rsidP="00D15EDD">
      <w:pPr>
        <w:pStyle w:val="FootnoteText"/>
      </w:pPr>
      <w:r>
        <w:rPr>
          <w:rStyle w:val="FootnoteReference"/>
        </w:rPr>
        <w:footnoteRef/>
      </w:r>
      <w:r>
        <w:t xml:space="preserve"> SHIFT Project Evaluation Report</w:t>
      </w:r>
    </w:p>
  </w:footnote>
  <w:footnote w:id="60">
    <w:p w14:paraId="5391DC22" w14:textId="77777777" w:rsidR="00D15EDD" w:rsidRDefault="00D15EDD" w:rsidP="00D15EDD">
      <w:pPr>
        <w:pStyle w:val="FootnoteText"/>
      </w:pPr>
      <w:r>
        <w:rPr>
          <w:rStyle w:val="FootnoteReference"/>
        </w:rPr>
        <w:footnoteRef/>
      </w:r>
      <w:r>
        <w:t xml:space="preserve"> </w:t>
      </w:r>
      <w:hyperlink r:id="rId57" w:history="1">
        <w:r w:rsidRPr="00BF3982">
          <w:rPr>
            <w:rStyle w:val="Hyperlink"/>
          </w:rPr>
          <w:t>Variation in outcomes in sexual and reproductive health in England 2021 (publishing.service.gov.uk)</w:t>
        </w:r>
      </w:hyperlink>
    </w:p>
  </w:footnote>
  <w:footnote w:id="61">
    <w:p w14:paraId="1DB6E29D" w14:textId="77777777" w:rsidR="00D15EDD" w:rsidRDefault="00D15EDD" w:rsidP="00D15EDD">
      <w:pPr>
        <w:pStyle w:val="FootnoteText"/>
      </w:pPr>
      <w:r>
        <w:rPr>
          <w:rStyle w:val="FootnoteReference"/>
        </w:rPr>
        <w:footnoteRef/>
      </w:r>
      <w:r>
        <w:t xml:space="preserve"> </w:t>
      </w:r>
      <w:hyperlink r:id="rId58" w:history="1">
        <w:r w:rsidRPr="00C24DA0">
          <w:rPr>
            <w:rStyle w:val="Hyperlink"/>
          </w:rPr>
          <w:t>Chemsex, Identity and Sexual Health among Gay and Bisexual Men - PMC (nih.gov)</w:t>
        </w:r>
      </w:hyperlink>
    </w:p>
  </w:footnote>
  <w:footnote w:id="62">
    <w:p w14:paraId="0C2067D9" w14:textId="77777777" w:rsidR="00D15EDD" w:rsidRDefault="00D15EDD" w:rsidP="00D15EDD">
      <w:pPr>
        <w:pStyle w:val="FootnoteText"/>
      </w:pPr>
      <w:r>
        <w:rPr>
          <w:rStyle w:val="FootnoteReference"/>
        </w:rPr>
        <w:footnoteRef/>
      </w:r>
      <w:r>
        <w:t xml:space="preserve"> UKHSA: The experiences of sexual health promotion and the barriers and facilitators in following sexual health advice amongst LGBTQ+ inclusion health groups (Slide Set)</w:t>
      </w:r>
    </w:p>
  </w:footnote>
  <w:footnote w:id="63">
    <w:p w14:paraId="523C95E5" w14:textId="77777777" w:rsidR="00D15EDD" w:rsidRDefault="00D15EDD" w:rsidP="00D15EDD">
      <w:pPr>
        <w:pStyle w:val="FootnoteText"/>
      </w:pPr>
      <w:r>
        <w:rPr>
          <w:rStyle w:val="FootnoteReference"/>
        </w:rPr>
        <w:footnoteRef/>
      </w:r>
      <w:r>
        <w:t xml:space="preserve"> SHIFT Project Evaluation Report</w:t>
      </w:r>
    </w:p>
  </w:footnote>
  <w:footnote w:id="64">
    <w:p w14:paraId="794F5684" w14:textId="77777777" w:rsidR="00D15EDD" w:rsidRDefault="00D15EDD" w:rsidP="00D15EDD">
      <w:pPr>
        <w:pStyle w:val="FootnoteText"/>
      </w:pPr>
      <w:r>
        <w:rPr>
          <w:rStyle w:val="FootnoteReference"/>
        </w:rPr>
        <w:footnoteRef/>
      </w:r>
      <w:r>
        <w:t xml:space="preserve"> </w:t>
      </w:r>
      <w:hyperlink r:id="rId59" w:history="1">
        <w:r w:rsidRPr="00BE0F77">
          <w:rPr>
            <w:rStyle w:val="Hyperlink"/>
          </w:rPr>
          <w:t>Violence Reduction Unit (VRU) (kent-pcc.gov.uk)</w:t>
        </w:r>
      </w:hyperlink>
    </w:p>
  </w:footnote>
  <w:footnote w:id="65">
    <w:p w14:paraId="73B70E78" w14:textId="77777777" w:rsidR="00D15EDD" w:rsidRDefault="00D15EDD" w:rsidP="00D15EDD">
      <w:pPr>
        <w:pStyle w:val="FootnoteText"/>
      </w:pPr>
      <w:r>
        <w:rPr>
          <w:rStyle w:val="FootnoteReference"/>
        </w:rPr>
        <w:footnoteRef/>
      </w:r>
      <w:r>
        <w:t xml:space="preserve"> SHIFT Project Evaluation Report</w:t>
      </w:r>
    </w:p>
  </w:footnote>
  <w:footnote w:id="66">
    <w:p w14:paraId="50B30FFF" w14:textId="77777777" w:rsidR="00D15EDD" w:rsidRDefault="00D15EDD" w:rsidP="00D15EDD">
      <w:pPr>
        <w:pStyle w:val="FootnoteText"/>
      </w:pPr>
      <w:r>
        <w:rPr>
          <w:rStyle w:val="FootnoteReference"/>
        </w:rPr>
        <w:footnoteRef/>
      </w:r>
      <w:r>
        <w:t xml:space="preserve"> </w:t>
      </w:r>
      <w:hyperlink r:id="rId60" w:history="1">
        <w:r>
          <w:rPr>
            <w:rStyle w:val="Hyperlink"/>
          </w:rPr>
          <w:t>Census - Office for National Statistics (ons.gov.uk)</w:t>
        </w:r>
      </w:hyperlink>
    </w:p>
  </w:footnote>
  <w:footnote w:id="67">
    <w:p w14:paraId="007993F7" w14:textId="77777777" w:rsidR="00D15EDD" w:rsidRDefault="00D15EDD" w:rsidP="00D15EDD">
      <w:pPr>
        <w:pStyle w:val="FootnoteText"/>
      </w:pPr>
      <w:r>
        <w:rPr>
          <w:rStyle w:val="FootnoteReference"/>
        </w:rPr>
        <w:footnoteRef/>
      </w:r>
      <w:r>
        <w:t xml:space="preserve"> </w:t>
      </w:r>
      <w:hyperlink r:id="rId61" w:history="1">
        <w:r>
          <w:rPr>
            <w:rStyle w:val="Hyperlink"/>
          </w:rPr>
          <w:t>Gypsy-Roma-and-Traveller-IR-August-FINAL.pdf (kpho.org.uk)</w:t>
        </w:r>
      </w:hyperlink>
    </w:p>
  </w:footnote>
  <w:footnote w:id="68">
    <w:p w14:paraId="532E148A" w14:textId="77777777" w:rsidR="00D15EDD" w:rsidRDefault="00D15EDD" w:rsidP="00D15EDD">
      <w:pPr>
        <w:pStyle w:val="FootnoteText"/>
      </w:pPr>
      <w:r>
        <w:rPr>
          <w:rStyle w:val="FootnoteReference"/>
        </w:rPr>
        <w:footnoteRef/>
      </w:r>
      <w:r>
        <w:t xml:space="preserve"> </w:t>
      </w:r>
      <w:hyperlink r:id="rId62" w:history="1">
        <w:r w:rsidRPr="000D7722">
          <w:rPr>
            <w:rStyle w:val="Hyperlink"/>
          </w:rPr>
          <w:t>Misuse of illicit drugs and medicines: applying All Our Health - GOV.UK (www.gov.uk)</w:t>
        </w:r>
      </w:hyperlink>
    </w:p>
  </w:footnote>
  <w:footnote w:id="69">
    <w:p w14:paraId="29D6D99D" w14:textId="77777777" w:rsidR="00D15EDD" w:rsidRDefault="00D15EDD" w:rsidP="00D15EDD">
      <w:pPr>
        <w:pStyle w:val="FootnoteText"/>
      </w:pPr>
      <w:r>
        <w:rPr>
          <w:rStyle w:val="FootnoteReference"/>
        </w:rPr>
        <w:footnoteRef/>
      </w:r>
      <w:r>
        <w:t xml:space="preserve"> </w:t>
      </w:r>
      <w:hyperlink r:id="rId63" w:history="1">
        <w:r w:rsidRPr="00B83C10">
          <w:rPr>
            <w:rStyle w:val="Hyperlink"/>
          </w:rPr>
          <w:t>Substance misuse services for men involved in chemsex - GOV.UK (www.gov.uk)</w:t>
        </w:r>
      </w:hyperlink>
    </w:p>
  </w:footnote>
  <w:footnote w:id="70">
    <w:p w14:paraId="3267150F" w14:textId="77777777" w:rsidR="00D15EDD" w:rsidRDefault="00D15EDD" w:rsidP="00D15EDD">
      <w:pPr>
        <w:pStyle w:val="FootnoteText"/>
      </w:pPr>
      <w:r>
        <w:rPr>
          <w:rStyle w:val="FootnoteReference"/>
        </w:rPr>
        <w:footnoteRef/>
      </w:r>
      <w:r>
        <w:t xml:space="preserve"> </w:t>
      </w:r>
      <w:hyperlink r:id="rId64" w:history="1">
        <w:r>
          <w:rPr>
            <w:rStyle w:val="Hyperlink"/>
          </w:rPr>
          <w:t>Offender management statistics quarterly - GOV.UK (www.gov.uk)</w:t>
        </w:r>
      </w:hyperlink>
    </w:p>
  </w:footnote>
  <w:footnote w:id="71">
    <w:p w14:paraId="379F9CB1" w14:textId="77777777" w:rsidR="00D15EDD" w:rsidRDefault="00D15EDD" w:rsidP="00D15EDD">
      <w:pPr>
        <w:pStyle w:val="FootnoteText"/>
      </w:pPr>
      <w:r>
        <w:rPr>
          <w:rStyle w:val="FootnoteReference"/>
        </w:rPr>
        <w:footnoteRef/>
      </w:r>
      <w:r>
        <w:t xml:space="preserve"> Sexual health needs assessment of prisoners in Kent, October 2016</w:t>
      </w:r>
      <w:r w:rsidR="00A24777">
        <w:t xml:space="preserve"> [unpublished]</w:t>
      </w:r>
    </w:p>
  </w:footnote>
  <w:footnote w:id="72">
    <w:p w14:paraId="014B0DA4" w14:textId="77777777" w:rsidR="00D15EDD" w:rsidRDefault="00D15EDD" w:rsidP="00D15EDD">
      <w:pPr>
        <w:pStyle w:val="FootnoteText"/>
      </w:pPr>
      <w:r>
        <w:rPr>
          <w:rStyle w:val="FootnoteReference"/>
        </w:rPr>
        <w:footnoteRef/>
      </w:r>
      <w:r>
        <w:t xml:space="preserve"> </w:t>
      </w:r>
      <w:r>
        <w:rPr>
          <w:rStyle w:val="cf01"/>
        </w:rPr>
        <w:t>Binswanger, Ingrid A, Mueller, Shane R, Beaty, Brenda L, Min, Sung-</w:t>
      </w:r>
      <w:proofErr w:type="spellStart"/>
      <w:r>
        <w:rPr>
          <w:rStyle w:val="cf01"/>
        </w:rPr>
        <w:t>joon</w:t>
      </w:r>
      <w:proofErr w:type="spellEnd"/>
      <w:r>
        <w:rPr>
          <w:rStyle w:val="cf01"/>
        </w:rPr>
        <w:t xml:space="preserve">, Corsi, Karen F ‘Gender and risk </w:t>
      </w:r>
      <w:proofErr w:type="spellStart"/>
      <w:r>
        <w:rPr>
          <w:rStyle w:val="cf01"/>
        </w:rPr>
        <w:t>behaviors</w:t>
      </w:r>
      <w:proofErr w:type="spellEnd"/>
      <w:r>
        <w:rPr>
          <w:rStyle w:val="cf01"/>
        </w:rPr>
        <w:t xml:space="preserve"> for HIV and sexually transmitted infections among recently released inmates: A prospective cohort study.’ AIDS care, Jan 2014, vol. 26, no. 7, p. 872-881 (2014)</w:t>
      </w:r>
    </w:p>
  </w:footnote>
  <w:footnote w:id="73">
    <w:p w14:paraId="3757102A" w14:textId="77777777" w:rsidR="00D15EDD" w:rsidRDefault="00D15EDD" w:rsidP="00D15EDD">
      <w:pPr>
        <w:pStyle w:val="FootnoteText"/>
      </w:pPr>
      <w:r>
        <w:rPr>
          <w:rStyle w:val="FootnoteReference"/>
        </w:rPr>
        <w:footnoteRef/>
      </w:r>
      <w:r>
        <w:t xml:space="preserve"> </w:t>
      </w:r>
      <w:r>
        <w:rPr>
          <w:rStyle w:val="cf01"/>
        </w:rPr>
        <w:t xml:space="preserve">DH and NAT Tackling BBV in Prisons 2011 </w:t>
      </w:r>
      <w:hyperlink r:id="rId65" w:history="1">
        <w:r w:rsidRPr="00BC1DED">
          <w:rPr>
            <w:rStyle w:val="Hyperlink"/>
            <w:rFonts w:ascii="Segoe UI" w:hAnsi="Segoe UI" w:cs="Segoe UI"/>
            <w:sz w:val="18"/>
            <w:szCs w:val="18"/>
          </w:rPr>
          <w:t>http://www.nat.org.uk/Media%20library/Files/Policy/2011/NATBlood%20Borne%20VirusesPrisonsMay2011.pdf</w:t>
        </w:r>
      </w:hyperlink>
      <w:r>
        <w:rPr>
          <w:rStyle w:val="cf01"/>
        </w:rPr>
        <w:t xml:space="preserve"> </w:t>
      </w:r>
    </w:p>
  </w:footnote>
  <w:footnote w:id="74">
    <w:p w14:paraId="2213EEF5" w14:textId="77777777" w:rsidR="00D15EDD" w:rsidRDefault="00D15EDD" w:rsidP="00D15EDD">
      <w:pPr>
        <w:pStyle w:val="FootnoteText"/>
      </w:pPr>
      <w:r>
        <w:rPr>
          <w:rStyle w:val="FootnoteReference"/>
        </w:rPr>
        <w:footnoteRef/>
      </w:r>
      <w:r>
        <w:t xml:space="preserve"> </w:t>
      </w:r>
      <w:r>
        <w:rPr>
          <w:rStyle w:val="cf01"/>
        </w:rPr>
        <w:t xml:space="preserve">Haley, Danielle F, Golin, Carol E, Farel, Claire E, Wohl, David A, </w:t>
      </w:r>
      <w:proofErr w:type="spellStart"/>
      <w:r>
        <w:rPr>
          <w:rStyle w:val="cf01"/>
        </w:rPr>
        <w:t>Scheyett</w:t>
      </w:r>
      <w:proofErr w:type="spellEnd"/>
      <w:r>
        <w:rPr>
          <w:rStyle w:val="cf01"/>
        </w:rPr>
        <w:t>, Anna M, Garrett, Jenna J, Rosen, David L, Parker, Sharon D [2014] ‘Multilevel challenges to engagement in HIV care after prison release: a theory-informed qualitative study comparing prisoners' perspectives before and after community re-entry.’ BMC public health, Jan 2014, vol. 14 :1253.</w:t>
      </w:r>
    </w:p>
  </w:footnote>
  <w:footnote w:id="75">
    <w:p w14:paraId="71C2E7D2" w14:textId="77777777" w:rsidR="00D15EDD" w:rsidRDefault="00D15EDD" w:rsidP="00D15EDD">
      <w:pPr>
        <w:pStyle w:val="FootnoteText"/>
      </w:pPr>
      <w:r>
        <w:rPr>
          <w:rStyle w:val="FootnoteReference"/>
        </w:rPr>
        <w:footnoteRef/>
      </w:r>
      <w:r>
        <w:t xml:space="preserve"> PHE [2015] needs assessment toolkit </w:t>
      </w:r>
      <w:hyperlink r:id="rId66" w:history="1">
        <w:r>
          <w:rPr>
            <w:rStyle w:val="Hyperlink"/>
          </w:rPr>
          <w:t>Health needs assessment: prison examples - GOV.UK (www.gov.uk)</w:t>
        </w:r>
      </w:hyperlink>
    </w:p>
  </w:footnote>
  <w:footnote w:id="76">
    <w:p w14:paraId="5D4453AE" w14:textId="77777777" w:rsidR="00D15EDD" w:rsidRDefault="00D15EDD" w:rsidP="00D15EDD">
      <w:pPr>
        <w:pStyle w:val="FootnoteText"/>
      </w:pPr>
      <w:r>
        <w:rPr>
          <w:rStyle w:val="FootnoteReference"/>
        </w:rPr>
        <w:footnoteRef/>
      </w:r>
      <w:r>
        <w:t xml:space="preserve"> </w:t>
      </w:r>
      <w:r w:rsidRPr="00D86AFA">
        <w:t>MHCLG</w:t>
      </w:r>
      <w:r>
        <w:t xml:space="preserve"> [2018] </w:t>
      </w:r>
      <w:r w:rsidRPr="0076288B">
        <w:t>Homelessness code of guidance for local authorities</w:t>
      </w:r>
      <w:r>
        <w:t xml:space="preserve"> </w:t>
      </w:r>
      <w:hyperlink r:id="rId67" w:history="1">
        <w:r w:rsidRPr="00C46CEA">
          <w:rPr>
            <w:rStyle w:val="Hyperlink"/>
          </w:rPr>
          <w:t>Homelessness code of guidance for local authorities - Chapter 12: Duty in cases of threatened homelessness (the prevention duty) - Guidance - GOV.UK (www.gov.uk)</w:t>
        </w:r>
      </w:hyperlink>
    </w:p>
  </w:footnote>
  <w:footnote w:id="77">
    <w:p w14:paraId="214B25BC" w14:textId="77777777" w:rsidR="00D15EDD" w:rsidRDefault="00D15EDD" w:rsidP="00D15EDD">
      <w:pPr>
        <w:pStyle w:val="FootnoteText"/>
      </w:pPr>
      <w:r>
        <w:rPr>
          <w:rStyle w:val="FootnoteReference"/>
        </w:rPr>
        <w:footnoteRef/>
      </w:r>
      <w:r>
        <w:t xml:space="preserve"> Statutory Homelessness in Kent: Financial year 2022-2023  </w:t>
      </w:r>
      <w:hyperlink r:id="rId68" w:history="1">
        <w:r w:rsidRPr="00226E04">
          <w:rPr>
            <w:rStyle w:val="Hyperlink"/>
          </w:rPr>
          <w:t>https://www.kent.gov.uk/__data/assets/pdf_file/0005/7349/Homelessness-in-Kent.pdf</w:t>
        </w:r>
      </w:hyperlink>
      <w:r>
        <w:t xml:space="preserve"> </w:t>
      </w:r>
    </w:p>
  </w:footnote>
  <w:footnote w:id="78">
    <w:p w14:paraId="5AF369DF" w14:textId="77777777" w:rsidR="00D15EDD" w:rsidRDefault="00D15EDD" w:rsidP="00D15EDD">
      <w:pPr>
        <w:pStyle w:val="FootnoteText"/>
      </w:pPr>
      <w:r>
        <w:rPr>
          <w:rStyle w:val="FootnoteReference"/>
        </w:rPr>
        <w:footnoteRef/>
      </w:r>
      <w:r>
        <w:t xml:space="preserve"> SHIFT Project Evaluation Report</w:t>
      </w:r>
    </w:p>
  </w:footnote>
  <w:footnote w:id="79">
    <w:p w14:paraId="47318247" w14:textId="77777777" w:rsidR="00D15EDD" w:rsidRDefault="00D15EDD" w:rsidP="00D15EDD">
      <w:pPr>
        <w:pStyle w:val="FootnoteText"/>
      </w:pPr>
      <w:r w:rsidRPr="368D9D21">
        <w:rPr>
          <w:rStyle w:val="FootnoteReference"/>
        </w:rPr>
        <w:footnoteRef/>
      </w:r>
      <w:r>
        <w:t xml:space="preserve"> Holmes et al (2017) Major Infectious Diseases. 3rd edition. Chapter 10Sexually Transmitted Infections: Impact and Cost-Effectiveness of Prevention</w:t>
      </w:r>
    </w:p>
    <w:p w14:paraId="515FB7B5" w14:textId="77777777" w:rsidR="00D15EDD" w:rsidRDefault="00D15EDD" w:rsidP="00D15EDD">
      <w:pPr>
        <w:pStyle w:val="FootnoteText"/>
      </w:pPr>
      <w:hyperlink r:id="rId69" w:anchor=":~:text=If%20left%20untreated%2C%20common%20STIs,neonatal%20and%20infant%20infections%20and">
        <w:r w:rsidRPr="368D9D21">
          <w:rPr>
            <w:rStyle w:val="Hyperlink"/>
          </w:rPr>
          <w:t>https://www.ncbi.nlm.nih.gov/books/NBK525195/#:~:text=If%20left%20untreated%2C%20common%20STIs,neonatal%20and%20infant%20infections%20and</w:t>
        </w:r>
      </w:hyperlink>
    </w:p>
    <w:p w14:paraId="60177364" w14:textId="77777777" w:rsidR="00D15EDD" w:rsidRDefault="00D15EDD" w:rsidP="00D15EDD">
      <w:pPr>
        <w:pStyle w:val="FootnoteText"/>
      </w:pPr>
    </w:p>
  </w:footnote>
  <w:footnote w:id="80">
    <w:p w14:paraId="7EB2BEF5" w14:textId="77777777" w:rsidR="00D15EDD" w:rsidRDefault="00D15EDD" w:rsidP="00D15EDD">
      <w:pPr>
        <w:pStyle w:val="FootnoteText"/>
      </w:pPr>
      <w:r w:rsidRPr="368D9D21">
        <w:rPr>
          <w:rStyle w:val="FootnoteReference"/>
        </w:rPr>
        <w:footnoteRef/>
      </w:r>
      <w:r>
        <w:t xml:space="preserve"> Rape and Crisis England and Wales (2022) Impacts of sexual violence and abuse  </w:t>
      </w:r>
      <w:hyperlink r:id="rId70">
        <w:r w:rsidRPr="368D9D21">
          <w:rPr>
            <w:rStyle w:val="Hyperlink"/>
          </w:rPr>
          <w:t>https://rapecrisis.org.uk/get-informed/about-sexual-violence/impacts-of-sexual-violence-and-abuse/</w:t>
        </w:r>
      </w:hyperlink>
      <w:r>
        <w:t xml:space="preserve"> </w:t>
      </w:r>
    </w:p>
  </w:footnote>
  <w:footnote w:id="81">
    <w:p w14:paraId="2A54B1F8" w14:textId="77777777" w:rsidR="00652F08" w:rsidRDefault="00652F08">
      <w:pPr>
        <w:pStyle w:val="FootnoteText"/>
      </w:pPr>
      <w:r>
        <w:rPr>
          <w:rStyle w:val="FootnoteReference"/>
        </w:rPr>
        <w:footnoteRef/>
      </w:r>
      <w:r>
        <w:t xml:space="preserve"> Kings College London (2024) </w:t>
      </w:r>
      <w:hyperlink r:id="rId71" w:history="1">
        <w:r w:rsidRPr="00A5033D">
          <w:rPr>
            <w:rStyle w:val="Hyperlink"/>
          </w:rPr>
          <w:t>https://www.kcl.ac.uk/giwl/assets/measuring-gender-equality-in-the-uk-data-on-violence-against-women-and-girls.pdf</w:t>
        </w:r>
      </w:hyperlink>
      <w:r>
        <w:t xml:space="preserve"> </w:t>
      </w:r>
    </w:p>
  </w:footnote>
  <w:footnote w:id="82">
    <w:p w14:paraId="0E3C3F67" w14:textId="77777777" w:rsidR="00D15EDD" w:rsidRDefault="00D15EDD" w:rsidP="00D15EDD">
      <w:pPr>
        <w:pStyle w:val="FootnoteText"/>
      </w:pPr>
      <w:r w:rsidRPr="368D9D21">
        <w:rPr>
          <w:rStyle w:val="FootnoteReference"/>
        </w:rPr>
        <w:footnoteRef/>
      </w:r>
      <w:r>
        <w:t xml:space="preserve"> Sachs et al (2023) Sexual Assault Infectious Disease Prophylaxis</w:t>
      </w:r>
    </w:p>
    <w:p w14:paraId="385910C2" w14:textId="77777777" w:rsidR="00D15EDD" w:rsidRDefault="00D15EDD" w:rsidP="00D15EDD">
      <w:pPr>
        <w:pStyle w:val="FootnoteText"/>
      </w:pPr>
      <w:hyperlink r:id="rId72" w:anchor=":~:text=The%20transmission%20of%20STIs%20after,%25)%20and%20gonorrhea%20(4%25">
        <w:r w:rsidRPr="368D9D21">
          <w:rPr>
            <w:rStyle w:val="Hyperlink"/>
          </w:rPr>
          <w:t>https://www.ncbi.nlm.nih.gov/books/NBK482239/#:~:text=The%20transmission%20of%20STIs%20after,%25)%20and%20gonorrhea%20(4%25</w:t>
        </w:r>
      </w:hyperlink>
      <w:r>
        <w:t xml:space="preserve">). </w:t>
      </w:r>
    </w:p>
  </w:footnote>
  <w:footnote w:id="83">
    <w:p w14:paraId="4BE4C11C" w14:textId="77777777" w:rsidR="00D15EDD" w:rsidRDefault="00D15EDD" w:rsidP="00D15EDD">
      <w:pPr>
        <w:pStyle w:val="FootnoteText"/>
      </w:pPr>
      <w:r>
        <w:rPr>
          <w:rStyle w:val="FootnoteReference"/>
        </w:rPr>
        <w:footnoteRef/>
      </w:r>
      <w:r>
        <w:t xml:space="preserve"> </w:t>
      </w:r>
      <w:hyperlink r:id="rId73" w:history="1">
        <w:r w:rsidRPr="00DD31CB">
          <w:rPr>
            <w:rStyle w:val="Hyperlink"/>
          </w:rPr>
          <w:t>Women's Health Strategy for England - GOV.UK (www.gov.uk)</w:t>
        </w:r>
      </w:hyperlink>
    </w:p>
  </w:footnote>
  <w:footnote w:id="84">
    <w:p w14:paraId="21D138D3" w14:textId="77777777" w:rsidR="00D15EDD" w:rsidRDefault="00D15EDD" w:rsidP="00D15EDD">
      <w:pPr>
        <w:pStyle w:val="FootnoteText"/>
      </w:pPr>
      <w:r>
        <w:rPr>
          <w:rStyle w:val="FootnoteReference"/>
        </w:rPr>
        <w:footnoteRef/>
      </w:r>
      <w:r>
        <w:t xml:space="preserve"> </w:t>
      </w:r>
      <w:hyperlink r:id="rId74" w:history="1">
        <w:r w:rsidRPr="00B70B26">
          <w:rPr>
            <w:rStyle w:val="Hyperlink"/>
          </w:rPr>
          <w:t>Results of the ‘Women’s Health – Let’s talk about it’ survey - GOV.UK (www.gov.uk)</w:t>
        </w:r>
      </w:hyperlink>
    </w:p>
  </w:footnote>
  <w:footnote w:id="85">
    <w:p w14:paraId="727DAE79" w14:textId="77777777" w:rsidR="00D15EDD" w:rsidRDefault="00D15EDD" w:rsidP="00D15EDD">
      <w:pPr>
        <w:pStyle w:val="FootnoteText"/>
      </w:pPr>
      <w:r>
        <w:rPr>
          <w:rStyle w:val="FootnoteReference"/>
        </w:rPr>
        <w:footnoteRef/>
      </w:r>
      <w:r>
        <w:t xml:space="preserve"> </w:t>
      </w:r>
      <w:hyperlink r:id="rId75" w:history="1">
        <w:r w:rsidRPr="00132261">
          <w:rPr>
            <w:rStyle w:val="Hyperlink"/>
          </w:rPr>
          <w:t>Women's health hubs: core specification - GOV.UK (www.gov.uk)</w:t>
        </w:r>
      </w:hyperlink>
    </w:p>
  </w:footnote>
  <w:footnote w:id="86">
    <w:p w14:paraId="5A9B3E28" w14:textId="77777777" w:rsidR="49636075" w:rsidRDefault="49636075" w:rsidP="49636075">
      <w:pPr>
        <w:pStyle w:val="FootnoteText"/>
      </w:pPr>
      <w:r w:rsidRPr="49636075">
        <w:rPr>
          <w:rStyle w:val="FootnoteReference"/>
        </w:rPr>
        <w:footnoteRef/>
      </w:r>
      <w:r>
        <w:t xml:space="preserve"> The Lankelly Chase Foundation (2015) Hard-Edges-Mapping-SMD-2015.pdf lankellychase.org.uk </w:t>
      </w:r>
    </w:p>
  </w:footnote>
  <w:footnote w:id="87">
    <w:p w14:paraId="10AC7B72" w14:textId="77777777" w:rsidR="006E429D" w:rsidRDefault="006E429D" w:rsidP="006E429D">
      <w:pPr>
        <w:pStyle w:val="FootnoteText"/>
      </w:pPr>
      <w:r w:rsidRPr="368D9D21">
        <w:rPr>
          <w:rStyle w:val="FootnoteReference"/>
        </w:rPr>
        <w:footnoteRef/>
      </w:r>
      <w:r>
        <w:t xml:space="preserve"> UK Parliament (2024) The prevalence of sexually transmitted infections in young people and other high risk groups – Report Summary. </w:t>
      </w:r>
      <w:hyperlink r:id="rId76">
        <w:r w:rsidRPr="368D9D21">
          <w:rPr>
            <w:rStyle w:val="Hyperlink"/>
          </w:rPr>
          <w:t>https://publications.parliament.uk/pa/cm5804/cmselect/cmwomeq/463/summary.html</w:t>
        </w:r>
      </w:hyperlink>
      <w:r>
        <w:t xml:space="preserve">  </w:t>
      </w:r>
    </w:p>
    <w:p w14:paraId="44088201" w14:textId="77777777" w:rsidR="006E429D" w:rsidRDefault="006E429D" w:rsidP="006E429D">
      <w:pPr>
        <w:pStyle w:val="FootnoteText"/>
      </w:pPr>
    </w:p>
  </w:footnote>
  <w:footnote w:id="88">
    <w:p w14:paraId="1570460B" w14:textId="77777777" w:rsidR="004123A9" w:rsidRDefault="004123A9" w:rsidP="004123A9">
      <w:pPr>
        <w:pStyle w:val="FootnoteText"/>
      </w:pPr>
      <w:r>
        <w:rPr>
          <w:rStyle w:val="FootnoteReference"/>
        </w:rPr>
        <w:footnoteRef/>
      </w:r>
      <w:r>
        <w:t xml:space="preserve"> </w:t>
      </w:r>
      <w:hyperlink r:id="rId77" w:history="1">
        <w:r w:rsidRPr="00510AFA">
          <w:rPr>
            <w:rStyle w:val="Hyperlink"/>
          </w:rPr>
          <w:t>Sexually transmitted infections and screening for chlamydia in England: 2023 report - GOV.UK (www.gov.uk)</w:t>
        </w:r>
      </w:hyperlink>
    </w:p>
  </w:footnote>
  <w:footnote w:id="89">
    <w:p w14:paraId="0F3BDA22" w14:textId="77777777" w:rsidR="009F2C10" w:rsidRDefault="009F2C10" w:rsidP="009F2C10">
      <w:pPr>
        <w:pStyle w:val="FootnoteText"/>
      </w:pPr>
      <w:r>
        <w:rPr>
          <w:rStyle w:val="FootnoteReference"/>
        </w:rPr>
        <w:footnoteRef/>
      </w:r>
      <w:r>
        <w:t xml:space="preserve"> </w:t>
      </w:r>
      <w:hyperlink r:id="rId78" w:history="1">
        <w:r w:rsidRPr="00073735">
          <w:rPr>
            <w:rStyle w:val="Hyperlink"/>
          </w:rPr>
          <w:t>Towards Zero - An action plan towards ending HIV transmission, AIDS and HIV-related deaths in England - 2022 to 2025 - GOV.UK (www.gov.uk)</w:t>
        </w:r>
      </w:hyperlink>
    </w:p>
  </w:footnote>
  <w:footnote w:id="90">
    <w:p w14:paraId="062BFE6E" w14:textId="77777777" w:rsidR="002B1F87" w:rsidRDefault="002B1F87">
      <w:pPr>
        <w:pStyle w:val="FootnoteText"/>
      </w:pPr>
      <w:r>
        <w:rPr>
          <w:rStyle w:val="FootnoteReference"/>
        </w:rPr>
        <w:footnoteRef/>
      </w:r>
      <w:r>
        <w:t xml:space="preserve"> </w:t>
      </w:r>
      <w:hyperlink r:id="rId79" w:history="1">
        <w:r w:rsidRPr="00617D27">
          <w:rPr>
            <w:rStyle w:val="Hyperlink"/>
          </w:rPr>
          <w:t>https://www.nice.org.uk/guidance/ng60/chapter/Recommendations</w:t>
        </w:r>
      </w:hyperlink>
      <w:r>
        <w:t xml:space="preserve"> </w:t>
      </w:r>
    </w:p>
  </w:footnote>
  <w:footnote w:id="91">
    <w:p w14:paraId="60CC7EA7" w14:textId="77777777" w:rsidR="0050097F" w:rsidRPr="0050097F" w:rsidRDefault="0050097F" w:rsidP="0050097F">
      <w:pPr>
        <w:pStyle w:val="FootnoteText"/>
      </w:pPr>
      <w:r>
        <w:rPr>
          <w:rStyle w:val="FootnoteReference"/>
        </w:rPr>
        <w:footnoteRef/>
      </w:r>
      <w:r w:rsidRPr="0050097F">
        <w:t xml:space="preserve"> Fingertips (2024) </w:t>
      </w:r>
      <w:hyperlink r:id="rId80" w:anchor="page/4/gid/1938133286/pat/15/par/E92000001/ati/502/are/E10000016/iid/90790/age/238/sex/4/cat/-1/ctp/-1/yrr/1/cid/4/tbm/1/page-options/ine-vo-1_ine-ao-0_ine-yo-1:2020:-1:-1_ine-ct-_ine-pt-0_tre-ao-0" w:history="1">
        <w:r w:rsidRPr="0050097F">
          <w:rPr>
            <w:rStyle w:val="Hyperlink"/>
          </w:rPr>
          <w:t>Sexual and Reproductive Health Profiles - Data | Fingertips | Department of Health and Social Care (phe.org.uk)</w:t>
        </w:r>
      </w:hyperlink>
    </w:p>
  </w:footnote>
  <w:footnote w:id="92">
    <w:p w14:paraId="2023AB74" w14:textId="77777777" w:rsidR="003F4EA7" w:rsidRPr="003F4EA7" w:rsidRDefault="003F4EA7" w:rsidP="003F4EA7">
      <w:pPr>
        <w:pStyle w:val="FootnoteText"/>
      </w:pPr>
      <w:r>
        <w:rPr>
          <w:rStyle w:val="FootnoteReference"/>
        </w:rPr>
        <w:footnoteRef/>
      </w:r>
      <w:r w:rsidRPr="003F4EA7">
        <w:t xml:space="preserve"> Fingertips (2024) </w:t>
      </w:r>
      <w:hyperlink r:id="rId81" w:anchor="page/3/gid/1938133286/pat/502/par/E10000016/ati/501/are/E07000109/iid/90790/age/238/sex/4/cat/-1/ctp/-1/yrr/1/cid/4/tbm/1/page-options/ine-vo-1_ine-ao-0_ine-yo-1:2020:-1:-1_ine-ct-_ine-pt-0_tre-ao-0_car-do-0" w:history="1">
        <w:r w:rsidRPr="003F4EA7">
          <w:rPr>
            <w:rStyle w:val="Hyperlink"/>
          </w:rPr>
          <w:t>Sexual and Reproductive Health Profiles - Data | Fingertips | Department of Health and Social Care (phe.org.uk)</w:t>
        </w:r>
      </w:hyperlink>
    </w:p>
  </w:footnote>
  <w:footnote w:id="93">
    <w:p w14:paraId="1375525E" w14:textId="77777777" w:rsidR="0050097F" w:rsidRPr="002E081D" w:rsidRDefault="0050097F" w:rsidP="0050097F">
      <w:pPr>
        <w:pStyle w:val="FootnoteText"/>
      </w:pPr>
      <w:r>
        <w:rPr>
          <w:rStyle w:val="FootnoteReference"/>
        </w:rPr>
        <w:footnoteRef/>
      </w:r>
      <w:r w:rsidRPr="002E081D">
        <w:t xml:space="preserve"> Gov.uk (2017) </w:t>
      </w:r>
      <w:hyperlink r:id="rId82" w:history="1">
        <w:r w:rsidRPr="002E081D">
          <w:rPr>
            <w:rStyle w:val="Hyperlink"/>
          </w:rPr>
          <w:t>HIV: testing - GOV.UK (www.gov.uk)</w:t>
        </w:r>
      </w:hyperlink>
    </w:p>
  </w:footnote>
  <w:footnote w:id="94">
    <w:p w14:paraId="16E58FBB" w14:textId="77777777" w:rsidR="009F2C10" w:rsidRDefault="009F2C10" w:rsidP="009F2C10">
      <w:pPr>
        <w:pStyle w:val="FootnoteText"/>
      </w:pPr>
      <w:r>
        <w:rPr>
          <w:rStyle w:val="FootnoteReference"/>
        </w:rPr>
        <w:footnoteRef/>
      </w:r>
      <w:r>
        <w:t xml:space="preserve"> </w:t>
      </w:r>
      <w:hyperlink r:id="rId83" w:history="1">
        <w:r w:rsidRPr="007A06B7">
          <w:rPr>
            <w:rStyle w:val="Hyperlink"/>
          </w:rPr>
          <w:t>Reproductive health profiles: statistical commentary - GOV.UK (www.gov.uk)</w:t>
        </w:r>
      </w:hyperlink>
    </w:p>
  </w:footnote>
  <w:footnote w:id="95">
    <w:p w14:paraId="7FC7B985" w14:textId="77777777" w:rsidR="6B91972C" w:rsidRDefault="6B91972C" w:rsidP="0089791B">
      <w:pPr>
        <w:pStyle w:val="FootnoteText"/>
      </w:pPr>
      <w:r w:rsidRPr="6B91972C">
        <w:rPr>
          <w:rStyle w:val="FootnoteReference"/>
        </w:rPr>
        <w:footnoteRef/>
      </w:r>
      <w:r>
        <w:t xml:space="preserve"> Fingertips (2024) Child and Maternal Health Profile. </w:t>
      </w:r>
      <w:hyperlink r:id="rId84" w:anchor="page/4/gid/1938133222/pat/15/par/E92000001/ati/502/are/E10000016/iid/90811/age/244/sex/2/cat/-1/ctp/-1/yrr/1/cid/4/tbm/1/page-options/car-do-0" w:history="1">
        <w:r w:rsidRPr="6B91972C">
          <w:rPr>
            <w:rStyle w:val="Hyperlink"/>
          </w:rPr>
          <w:t>Child and Maternal Health - Data | Fingertips | Department of Health and Social Care (phe.org.uk)</w:t>
        </w:r>
      </w:hyperlink>
    </w:p>
  </w:footnote>
  <w:footnote w:id="96">
    <w:p w14:paraId="2C251330" w14:textId="77777777" w:rsidR="4A0F6D8A" w:rsidRDefault="4A0F6D8A" w:rsidP="4A0F6D8A">
      <w:pPr>
        <w:pStyle w:val="FootnoteText"/>
      </w:pPr>
      <w:r w:rsidRPr="4A0F6D8A">
        <w:rPr>
          <w:rStyle w:val="FootnoteReference"/>
        </w:rPr>
        <w:footnoteRef/>
      </w:r>
      <w:r>
        <w:t xml:space="preserve"> </w:t>
      </w:r>
      <w:hyperlink r:id="rId85">
        <w:r w:rsidRPr="4A0F6D8A">
          <w:rPr>
            <w:rStyle w:val="Hyperlink"/>
          </w:rPr>
          <w:t>Abortion statistics, England and Wales: 2021 - GOV.UK (www.gov.uk)</w:t>
        </w:r>
      </w:hyperlink>
    </w:p>
  </w:footnote>
  <w:footnote w:id="97">
    <w:p w14:paraId="255DD342" w14:textId="77777777" w:rsidR="4A0F6D8A" w:rsidRDefault="4A0F6D8A" w:rsidP="4A0F6D8A">
      <w:pPr>
        <w:pStyle w:val="FootnoteText"/>
      </w:pPr>
      <w:r w:rsidRPr="4A0F6D8A">
        <w:rPr>
          <w:rStyle w:val="FootnoteReference"/>
        </w:rPr>
        <w:footnoteRef/>
      </w:r>
      <w:r>
        <w:t xml:space="preserve"> </w:t>
      </w:r>
      <w:hyperlink r:id="rId86">
        <w:r w:rsidRPr="4A0F6D8A">
          <w:rPr>
            <w:rStyle w:val="Hyperlink"/>
          </w:rPr>
          <w:t>Rising Cost of Living Drives Record Abortion Rate | BPAS</w:t>
        </w:r>
      </w:hyperlink>
    </w:p>
  </w:footnote>
  <w:footnote w:id="98">
    <w:p w14:paraId="1B7E5502" w14:textId="77777777" w:rsidR="009F2C10" w:rsidRDefault="009F2C10" w:rsidP="009F2C10">
      <w:pPr>
        <w:pStyle w:val="FootnoteText"/>
      </w:pPr>
      <w:r w:rsidRPr="368D9D21">
        <w:rPr>
          <w:rStyle w:val="FootnoteReference"/>
        </w:rPr>
        <w:footnoteRef/>
      </w:r>
      <w:r>
        <w:t xml:space="preserve"> Holmes et al (2017) Major Infectious Diseases. 3rd edition. Chapter 10Sexually Transmitted Infections: Impact and Cost-Effectiveness of Prevention</w:t>
      </w:r>
    </w:p>
    <w:p w14:paraId="588FF2E2" w14:textId="77777777" w:rsidR="009F2C10" w:rsidRDefault="009F2C10" w:rsidP="009F2C10">
      <w:pPr>
        <w:pStyle w:val="FootnoteText"/>
      </w:pPr>
      <w:hyperlink r:id="rId87" w:anchor=":~:text=If%20left%20untreated%2C%20common%20STIs,neonatal%20and%20infant%20infections%20and">
        <w:r w:rsidRPr="368D9D21">
          <w:rPr>
            <w:rStyle w:val="Hyperlink"/>
          </w:rPr>
          <w:t>https://www.ncbi.nlm.nih.gov/books/NBK525195/#:~:text=If%20left%20untreated%2C%20common%20STIs,neonatal%20and%20infant%20infections%20and</w:t>
        </w:r>
      </w:hyperlink>
      <w:r>
        <w:t xml:space="preserve"> </w:t>
      </w:r>
    </w:p>
  </w:footnote>
  <w:footnote w:id="99">
    <w:p w14:paraId="2565BB0B" w14:textId="77777777" w:rsidR="009F2C10" w:rsidRDefault="009F2C10" w:rsidP="009F2C10">
      <w:pPr>
        <w:pStyle w:val="FootnoteText"/>
      </w:pPr>
      <w:r>
        <w:rPr>
          <w:rStyle w:val="FootnoteReference"/>
        </w:rPr>
        <w:footnoteRef/>
      </w:r>
      <w:r>
        <w:t xml:space="preserve"> </w:t>
      </w:r>
      <w:hyperlink r:id="rId88" w:history="1">
        <w:r w:rsidRPr="007452B1">
          <w:rPr>
            <w:rStyle w:val="Hyperlink"/>
          </w:rPr>
          <w:t>Sexual health - Kent County Council</w:t>
        </w:r>
      </w:hyperlink>
    </w:p>
  </w:footnote>
  <w:footnote w:id="100">
    <w:p w14:paraId="4AC560E6" w14:textId="77777777" w:rsidR="0011787F" w:rsidRDefault="0011787F" w:rsidP="0011787F">
      <w:pPr>
        <w:pStyle w:val="FootnoteText"/>
      </w:pPr>
      <w:r w:rsidRPr="226DBECB">
        <w:rPr>
          <w:rStyle w:val="FootnoteReference"/>
        </w:rPr>
        <w:footnoteRef/>
      </w:r>
      <w:r>
        <w:t xml:space="preserve"> Kent County Council (2022) Mid-year population estimates: Age and Sex profile </w:t>
      </w:r>
      <w:hyperlink r:id="rId89">
        <w:r w:rsidRPr="226DBECB">
          <w:rPr>
            <w:rStyle w:val="Hyperlink"/>
          </w:rPr>
          <w:t>www.kent.gov.uk</w:t>
        </w:r>
      </w:hyperlink>
      <w:r>
        <w:t xml:space="preserve"> </w:t>
      </w:r>
    </w:p>
  </w:footnote>
  <w:footnote w:id="101">
    <w:p w14:paraId="11233179" w14:textId="77777777" w:rsidR="0011787F" w:rsidRDefault="0011787F" w:rsidP="0011787F">
      <w:pPr>
        <w:pStyle w:val="FootnoteText"/>
      </w:pPr>
      <w:r w:rsidRPr="226DBECB">
        <w:rPr>
          <w:rStyle w:val="FootnoteReference"/>
        </w:rPr>
        <w:footnoteRef/>
      </w:r>
      <w:r>
        <w:t xml:space="preserve"> Kent County Council (2022) Facts and Figures about Kent. </w:t>
      </w:r>
      <w:hyperlink r:id="rId90" w:anchor="tab-3">
        <w:r w:rsidRPr="226DBECB">
          <w:rPr>
            <w:rStyle w:val="Hyperlink"/>
          </w:rPr>
          <w:t>https://www.kent.gov.uk/about-the-council/information-and-data/Facts-and-figures-about-Kent/population-and-census#tab-3</w:t>
        </w:r>
      </w:hyperlink>
      <w:r>
        <w:t xml:space="preserve"> </w:t>
      </w:r>
    </w:p>
  </w:footnote>
  <w:footnote w:id="102">
    <w:p w14:paraId="0E2DA13D" w14:textId="77777777" w:rsidR="6B91972C" w:rsidRDefault="6B91972C" w:rsidP="0089791B">
      <w:pPr>
        <w:pStyle w:val="FootnoteText"/>
      </w:pPr>
      <w:r w:rsidRPr="6B91972C">
        <w:rPr>
          <w:rStyle w:val="FootnoteReference"/>
        </w:rPr>
        <w:footnoteRef/>
      </w:r>
      <w:r>
        <w:t xml:space="preserve"> UKHSA (2024) </w:t>
      </w:r>
      <w:r w:rsidRPr="0089791B">
        <w:rPr>
          <w:i/>
          <w:iCs/>
        </w:rPr>
        <w:t xml:space="preserve">STI Prioritisation Framework </w:t>
      </w:r>
      <w:hyperlink r:id="rId91" w:history="1">
        <w:r w:rsidRPr="6B91972C">
          <w:rPr>
            <w:rStyle w:val="Hyperlink"/>
          </w:rPr>
          <w:t>STI Prioritisation Framework (publishing.service.gov.uk)</w:t>
        </w:r>
      </w:hyperlink>
    </w:p>
  </w:footnote>
  <w:footnote w:id="103">
    <w:p w14:paraId="078F5012" w14:textId="77777777" w:rsidR="00B8147E" w:rsidRDefault="00B8147E" w:rsidP="00B8147E">
      <w:r w:rsidRPr="35C28146">
        <w:rPr>
          <w:rStyle w:val="FootnoteReference"/>
        </w:rPr>
        <w:footnoteRef/>
      </w:r>
      <w:r>
        <w:t xml:space="preserve"> National</w:t>
      </w:r>
      <w:r w:rsidRPr="35C28146">
        <w:rPr>
          <w:rFonts w:ascii="Noto Sans" w:eastAsia="Noto Sans" w:hAnsi="Noto Sans" w:cs="Noto Sans"/>
          <w:color w:val="323044"/>
          <w:sz w:val="37"/>
          <w:szCs w:val="37"/>
        </w:rPr>
        <w:t xml:space="preserve"> </w:t>
      </w:r>
      <w:r w:rsidRPr="35C28146">
        <w:t xml:space="preserve">Surveys of Sexual Attitudes and Lifestyles (2024). Natsal-COVID study. Available from: </w:t>
      </w:r>
      <w:hyperlink r:id="rId92">
        <w:r w:rsidRPr="35C28146">
          <w:rPr>
            <w:rStyle w:val="Hyperlink"/>
          </w:rPr>
          <w:t>Natsal-COVID Study – NATSAL</w:t>
        </w:r>
      </w:hyperlink>
    </w:p>
  </w:footnote>
  <w:footnote w:id="104">
    <w:p w14:paraId="1FFF6AC7" w14:textId="77777777" w:rsidR="00B8147E" w:rsidRDefault="00B8147E" w:rsidP="00B8147E">
      <w:r w:rsidRPr="375C636A">
        <w:rPr>
          <w:rStyle w:val="FootnoteReference"/>
        </w:rPr>
        <w:footnoteRef/>
      </w:r>
      <w:r>
        <w:t xml:space="preserve"> </w:t>
      </w:r>
      <w:r w:rsidRPr="375C636A">
        <w:rPr>
          <w:rFonts w:ascii="Source Sans Pro" w:eastAsia="Source Sans Pro" w:hAnsi="Source Sans Pro" w:cs="Source Sans Pro"/>
          <w:color w:val="333333"/>
        </w:rPr>
        <w:t>Dema, Em</w:t>
      </w:r>
      <w:r w:rsidRPr="375C636A">
        <w:rPr>
          <w:color w:val="333333"/>
        </w:rPr>
        <w:t>ily et al. Initial impacts of the COVID-19 pandemic on sexual and reproductive health service use and unmet need in Britain: findings from a quasi-representative survey (Natsal-COVID). The Lanc</w:t>
      </w:r>
      <w:r w:rsidRPr="375C636A">
        <w:rPr>
          <w:rFonts w:ascii="Source Sans Pro" w:eastAsia="Source Sans Pro" w:hAnsi="Source Sans Pro" w:cs="Source Sans Pro"/>
          <w:color w:val="333333"/>
        </w:rPr>
        <w:t>et Public Health, Volume 7, Issue 1, e36 - e47</w:t>
      </w:r>
      <w:r w:rsidR="00EA21CD">
        <w:rPr>
          <w:rFonts w:ascii="Source Sans Pro" w:eastAsia="Source Sans Pro" w:hAnsi="Source Sans Pro" w:cs="Source Sans Pro"/>
          <w:color w:val="333333"/>
        </w:rPr>
        <w:t xml:space="preserve"> </w:t>
      </w:r>
    </w:p>
  </w:footnote>
  <w:footnote w:id="105">
    <w:p w14:paraId="24B01C87" w14:textId="77777777" w:rsidR="00B8147E" w:rsidRDefault="00B8147E" w:rsidP="00B8147E">
      <w:r w:rsidRPr="35C28146">
        <w:rPr>
          <w:rStyle w:val="FootnoteReference"/>
        </w:rPr>
        <w:footnoteRef/>
      </w:r>
      <w:r>
        <w:t xml:space="preserve"> </w:t>
      </w:r>
      <w:r w:rsidRPr="35C28146">
        <w:rPr>
          <w:color w:val="333333"/>
        </w:rPr>
        <w:t>Department of Health and Social Care (2022). Results of the ‘women’s health- let's talk about it’ survey. Available from:</w:t>
      </w:r>
      <w:r w:rsidRPr="35C28146">
        <w:rPr>
          <w:rFonts w:ascii="Segoe UI" w:eastAsia="Segoe UI" w:hAnsi="Segoe UI" w:cs="Segoe UI"/>
          <w:color w:val="333333"/>
          <w:sz w:val="18"/>
          <w:szCs w:val="18"/>
        </w:rPr>
        <w:t xml:space="preserve"> </w:t>
      </w:r>
      <w:hyperlink r:id="rId93">
        <w:r w:rsidRPr="35C28146">
          <w:rPr>
            <w:rStyle w:val="Hyperlink"/>
            <w:rFonts w:ascii="Segoe UI" w:eastAsia="Segoe UI" w:hAnsi="Segoe UI" w:cs="Segoe UI"/>
            <w:sz w:val="18"/>
            <w:szCs w:val="18"/>
          </w:rPr>
          <w:t>https://www.gov.uk/government/calls-for-evidence/womens-health-strategy-call-for-evidence/outcome/results-of-the-womens-health-lets-talk-about-it-survey</w:t>
        </w:r>
      </w:hyperlink>
      <w:r w:rsidRPr="35C28146">
        <w:rPr>
          <w:rFonts w:ascii="Segoe UI" w:eastAsia="Segoe UI" w:hAnsi="Segoe UI" w:cs="Segoe UI"/>
          <w:color w:val="333333"/>
          <w:sz w:val="18"/>
          <w:szCs w:val="18"/>
        </w:rPr>
        <w:t xml:space="preserve"> </w:t>
      </w:r>
    </w:p>
    <w:p w14:paraId="13431E6B" w14:textId="77777777" w:rsidR="00B8147E" w:rsidRDefault="00B8147E" w:rsidP="00B8147E">
      <w:pPr>
        <w:pStyle w:val="FootnoteText"/>
      </w:pPr>
    </w:p>
  </w:footnote>
  <w:footnote w:id="106">
    <w:p w14:paraId="10F2AB44" w14:textId="77777777" w:rsidR="4A0F6D8A" w:rsidRDefault="4A0F6D8A" w:rsidP="4A0F6D8A">
      <w:pPr>
        <w:pStyle w:val="FootnoteText"/>
      </w:pPr>
      <w:r w:rsidRPr="4A0F6D8A">
        <w:rPr>
          <w:rStyle w:val="FootnoteReference"/>
        </w:rPr>
        <w:footnoteRef/>
      </w:r>
      <w:r>
        <w:t xml:space="preserve"> </w:t>
      </w:r>
      <w:r w:rsidRPr="4A0F6D8A">
        <w:rPr>
          <w:rFonts w:ascii="Segoe UI" w:eastAsia="Segoe UI" w:hAnsi="Segoe UI" w:cs="Segoe UI"/>
          <w:color w:val="000000" w:themeColor="text1"/>
          <w:sz w:val="18"/>
          <w:szCs w:val="18"/>
        </w:rPr>
        <w:t>https://ukc-word-edit.officeapps.live.com/we/wordeditorframe.aspx?ui=en-us&amp;rs=en-gb&amp;wopisrc=https%3A%2F%2Fkentcountycouncil.sharepoint.com%2Fsites%2FPHServiceTransformationProgramme%2F_vti_bin%2Fwopi.ashx%2Ffiles%2F8d0a82245d1a46cab3d332e13056bc13&amp;wdenableroaming=1&amp;mscc=1&amp;hid=76b257c7-5678-4395-af5f-db899a270d20.0&amp;uih=teams&amp;uiembed=1&amp;wdlcid=en-us&amp;jsapi=1&amp;jsapiver=v2&amp;corrid=d838d33f-6c3a-4533-af76-d76599273fd2&amp;usid=d838d33f-6c3a-4533-af76-d76599273fd2&amp;newsession=1&amp;sftc=1&amp;uihit=TeamsModern&amp;muv=v1&amp;accloop=1&amp;sdr=6&amp;scnd=1&amp;sat=1&amp;rat=1&amp;sams=1&amp;mtf=1&amp;sfp=1&amp;halh=1&amp;hch=1&amp;hmh=1&amp;hwfh=1&amp;hsth=1&amp;sih=1&amp;unh=1&amp;onw=1&amp;dchat=1&amp;sc=%7B%22pmo%22%3A%22https%3A%2F%2Fwww.microsoft365.com%22%2C%22pmshare%22%3Atrue%7D&amp;ctp=LeastProtected&amp;rct=Normal&amp;wdhostclicktime=1723820790965&amp;instantedit=1&amp;wopicomplete=1&amp;wdredirectionreason=Unified_SingleFlush#_ftn7</w:t>
      </w:r>
    </w:p>
  </w:footnote>
  <w:footnote w:id="107">
    <w:p w14:paraId="48A1129D" w14:textId="77777777" w:rsidR="4A0F6D8A" w:rsidRDefault="4A0F6D8A" w:rsidP="4A0F6D8A">
      <w:pPr>
        <w:pStyle w:val="FootnoteText"/>
      </w:pPr>
      <w:r w:rsidRPr="4A0F6D8A">
        <w:rPr>
          <w:rStyle w:val="FootnoteReference"/>
        </w:rPr>
        <w:footnoteRef/>
      </w:r>
      <w:r>
        <w:t xml:space="preserve"> </w:t>
      </w:r>
      <w:r w:rsidRPr="4A0F6D8A">
        <w:rPr>
          <w:rFonts w:ascii="Segoe UI" w:eastAsia="Segoe UI" w:hAnsi="Segoe UI" w:cs="Segoe UI"/>
          <w:color w:val="000000" w:themeColor="text1"/>
          <w:sz w:val="18"/>
          <w:szCs w:val="18"/>
        </w:rPr>
        <w:t>https://ukc-word-edit.officeapps.live.com/we/wordeditorframe.aspx?ui=en-us&amp;rs=en-gb&amp;wopisrc=https%3A%2F%2Fkentcountycouncil.sharepoint.com%2Fsites%2FPHServiceTransformationProgramme%2F_vti_bin%2Fwopi.ashx%2Ffiles%2F8d0a82245d1a46cab3d332e13056bc13&amp;wdenableroaming=1&amp;mscc=1&amp;hid=76b257c7-5678-4395-af5f-db899a270d20.0&amp;uih=teams&amp;uiembed=1&amp;wdlcid=en-us&amp;jsapi=1&amp;jsapiver=v2&amp;corrid=d838d33f-6c3a-4533-af76-d76599273fd2&amp;usid=d838d33f-6c3a-4533-af76-d76599273fd2&amp;newsession=1&amp;sftc=1&amp;uihit=TeamsModern&amp;muv=v1&amp;accloop=1&amp;sdr=6&amp;scnd=1&amp;sat=1&amp;rat=1&amp;sams=1&amp;mtf=1&amp;sfp=1&amp;halh=1&amp;hch=1&amp;hmh=1&amp;hwfh=1&amp;hsth=1&amp;sih=1&amp;unh=1&amp;onw=1&amp;dchat=1&amp;sc=%7B%22pmo%22%3A%22https%3A%2F%2Fwww.microsoft365.com%22%2C%22pmshare%22%3Atrue%7D&amp;ctp=LeastProtected&amp;rct=Normal&amp;wdhostclicktime=1723820790965&amp;instantedit=1&amp;wopicomplete=1&amp;wdredirectionreason=Unified_SingleFlush#_ftn8</w:t>
      </w:r>
    </w:p>
  </w:footnote>
  <w:footnote w:id="108">
    <w:p w14:paraId="6653F2BD" w14:textId="77777777" w:rsidR="4A0F6D8A" w:rsidRDefault="4A0F6D8A" w:rsidP="4A0F6D8A">
      <w:pPr>
        <w:pStyle w:val="FootnoteText"/>
      </w:pPr>
      <w:r w:rsidRPr="4A0F6D8A">
        <w:rPr>
          <w:rStyle w:val="FootnoteReference"/>
        </w:rPr>
        <w:footnoteRef/>
      </w:r>
      <w:r>
        <w:t xml:space="preserve"> </w:t>
      </w:r>
      <w:r w:rsidRPr="4A0F6D8A">
        <w:rPr>
          <w:rFonts w:ascii="Segoe UI" w:eastAsia="Segoe UI" w:hAnsi="Segoe UI" w:cs="Segoe UI"/>
          <w:color w:val="000000" w:themeColor="text1"/>
          <w:sz w:val="18"/>
          <w:szCs w:val="18"/>
        </w:rPr>
        <w:t>https://ukc-word-edit.officeapps.live.com/we/wordeditorframe.aspx?ui=en-us&amp;rs=en-gb&amp;wopisrc=https%3A%2F%2Fkentcountycouncil.sharepoint.com%2Fsites%2FPHServiceTransformationProgramme%2F_vti_bin%2Fwopi.ashx%2Ffiles%2F8d0a82245d1a46cab3d332e13056bc13&amp;wdenableroaming=1&amp;mscc=1&amp;hid=76b257c7-5678-4395-af5f-db899a270d20.0&amp;uih=teams&amp;uiembed=1&amp;wdlcid=en-us&amp;jsapi=1&amp;jsapiver=v2&amp;corrid=d838d33f-6c3a-4533-af76-d76599273fd2&amp;usid=d838d33f-6c3a-4533-af76-d76599273fd2&amp;newsession=1&amp;sftc=1&amp;uihit=TeamsModern&amp;muv=v1&amp;accloop=1&amp;sdr=6&amp;scnd=1&amp;sat=1&amp;rat=1&amp;sams=1&amp;mtf=1&amp;sfp=1&amp;halh=1&amp;hch=1&amp;hmh=1&amp;hwfh=1&amp;hsth=1&amp;sih=1&amp;unh=1&amp;onw=1&amp;dchat=1&amp;sc=%7B%22pmo%22%3A%22https%3A%2F%2Fwww.microsoft365.com%22%2C%22pmshare%22%3Atrue%7D&amp;ctp=LeastProtected&amp;rct=Normal&amp;wdhostclicktime=1723820790965&amp;instantedit=1&amp;wopicomplete=1&amp;wdredirectionreason=Unified_SingleFlush#_ftn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540"/>
      <w:gridCol w:w="3540"/>
      <w:gridCol w:w="3540"/>
    </w:tblGrid>
    <w:tr w:rsidR="49636075" w14:paraId="3BCF8EBF" w14:textId="77777777" w:rsidTr="49636075">
      <w:trPr>
        <w:trHeight w:val="300"/>
      </w:trPr>
      <w:tc>
        <w:tcPr>
          <w:tcW w:w="3540" w:type="dxa"/>
        </w:tcPr>
        <w:p w14:paraId="0CD44B49" w14:textId="77777777" w:rsidR="49636075" w:rsidRDefault="49636075" w:rsidP="49636075">
          <w:pPr>
            <w:pStyle w:val="Header"/>
            <w:ind w:left="-115"/>
          </w:pPr>
        </w:p>
      </w:tc>
      <w:tc>
        <w:tcPr>
          <w:tcW w:w="3540" w:type="dxa"/>
        </w:tcPr>
        <w:p w14:paraId="4758E28C" w14:textId="77777777" w:rsidR="49636075" w:rsidRDefault="49636075" w:rsidP="49636075">
          <w:pPr>
            <w:pStyle w:val="Header"/>
            <w:jc w:val="center"/>
          </w:pPr>
        </w:p>
      </w:tc>
      <w:tc>
        <w:tcPr>
          <w:tcW w:w="3540" w:type="dxa"/>
        </w:tcPr>
        <w:p w14:paraId="37F7E316" w14:textId="77777777" w:rsidR="49636075" w:rsidRDefault="49636075" w:rsidP="49636075">
          <w:pPr>
            <w:pStyle w:val="Header"/>
            <w:ind w:right="-115"/>
            <w:jc w:val="right"/>
          </w:pPr>
        </w:p>
      </w:tc>
    </w:tr>
  </w:tbl>
  <w:p w14:paraId="24A4015E" w14:textId="77777777" w:rsidR="00501CA0" w:rsidRDefault="00501C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4B10A" w14:textId="77777777" w:rsidR="00D73D33" w:rsidRDefault="00A72405">
    <w:pPr>
      <w:pStyle w:val="Header"/>
    </w:pPr>
    <w:r>
      <w:rPr>
        <w:b/>
        <w:noProof/>
        <w:color w:val="2D7C82"/>
        <w:sz w:val="36"/>
        <w:szCs w:val="36"/>
        <w:shd w:val="clear" w:color="auto" w:fill="E6E6E6"/>
      </w:rPr>
      <w:drawing>
        <wp:anchor distT="0" distB="0" distL="114300" distR="114300" simplePos="0" relativeHeight="251658241" behindDoc="1" locked="0" layoutInCell="1" allowOverlap="1" wp14:anchorId="5346D7A3" wp14:editId="5FCB705D">
          <wp:simplePos x="0" y="0"/>
          <wp:positionH relativeFrom="column">
            <wp:posOffset>4610100</wp:posOffset>
          </wp:positionH>
          <wp:positionV relativeFrom="paragraph">
            <wp:posOffset>-20955</wp:posOffset>
          </wp:positionV>
          <wp:extent cx="1516380" cy="365236"/>
          <wp:effectExtent l="0" t="0" r="7620" b="0"/>
          <wp:wrapNone/>
          <wp:docPr id="1864595128" name="Picture 1864595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ho-logo-TEAL-120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6380" cy="365236"/>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KRanK8MB6zyw0H" int2:id="MYcyNwBy">
      <int2:state int2:value="Rejected" int2:type="AugLoop_Text_Critique"/>
    </int2:textHash>
    <int2:textHash int2:hashCode="VBx47Cqt+ou04j" int2:id="fg8yH19Z">
      <int2:state int2:value="Rejected" int2:type="AugLoop_Text_Critique"/>
    </int2:textHash>
    <int2:bookmark int2:bookmarkName="_Int_wawSHFAz" int2:invalidationBookmarkName="" int2:hashCode="K+pnTanAs/k4uV" int2:id="EpjdNNQN">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93B04"/>
    <w:multiLevelType w:val="hybridMultilevel"/>
    <w:tmpl w:val="82708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2595E"/>
    <w:multiLevelType w:val="hybridMultilevel"/>
    <w:tmpl w:val="A700139C"/>
    <w:lvl w:ilvl="0" w:tplc="CE08BB7C">
      <w:start w:val="1"/>
      <w:numFmt w:val="bullet"/>
      <w:lvlText w:val=""/>
      <w:lvlJc w:val="left"/>
      <w:pPr>
        <w:ind w:left="720" w:hanging="360"/>
      </w:pPr>
      <w:rPr>
        <w:rFonts w:ascii="Symbol" w:hAnsi="Symbol" w:hint="default"/>
      </w:rPr>
    </w:lvl>
    <w:lvl w:ilvl="1" w:tplc="135ABC24">
      <w:start w:val="1"/>
      <w:numFmt w:val="bullet"/>
      <w:lvlText w:val="o"/>
      <w:lvlJc w:val="left"/>
      <w:pPr>
        <w:ind w:left="1440" w:hanging="360"/>
      </w:pPr>
      <w:rPr>
        <w:rFonts w:ascii="Courier New" w:hAnsi="Courier New" w:hint="default"/>
      </w:rPr>
    </w:lvl>
    <w:lvl w:ilvl="2" w:tplc="67BAD6A4">
      <w:start w:val="1"/>
      <w:numFmt w:val="bullet"/>
      <w:lvlText w:val=""/>
      <w:lvlJc w:val="left"/>
      <w:pPr>
        <w:ind w:left="2160" w:hanging="360"/>
      </w:pPr>
      <w:rPr>
        <w:rFonts w:ascii="Wingdings" w:hAnsi="Wingdings" w:hint="default"/>
      </w:rPr>
    </w:lvl>
    <w:lvl w:ilvl="3" w:tplc="E00CCDAA">
      <w:start w:val="1"/>
      <w:numFmt w:val="bullet"/>
      <w:lvlText w:val=""/>
      <w:lvlJc w:val="left"/>
      <w:pPr>
        <w:ind w:left="2880" w:hanging="360"/>
      </w:pPr>
      <w:rPr>
        <w:rFonts w:ascii="Symbol" w:hAnsi="Symbol" w:hint="default"/>
      </w:rPr>
    </w:lvl>
    <w:lvl w:ilvl="4" w:tplc="8656F966">
      <w:start w:val="1"/>
      <w:numFmt w:val="bullet"/>
      <w:lvlText w:val="o"/>
      <w:lvlJc w:val="left"/>
      <w:pPr>
        <w:ind w:left="3600" w:hanging="360"/>
      </w:pPr>
      <w:rPr>
        <w:rFonts w:ascii="Courier New" w:hAnsi="Courier New" w:hint="default"/>
      </w:rPr>
    </w:lvl>
    <w:lvl w:ilvl="5" w:tplc="76CA874C">
      <w:start w:val="1"/>
      <w:numFmt w:val="bullet"/>
      <w:lvlText w:val=""/>
      <w:lvlJc w:val="left"/>
      <w:pPr>
        <w:ind w:left="4320" w:hanging="360"/>
      </w:pPr>
      <w:rPr>
        <w:rFonts w:ascii="Wingdings" w:hAnsi="Wingdings" w:hint="default"/>
      </w:rPr>
    </w:lvl>
    <w:lvl w:ilvl="6" w:tplc="DB8C17A0">
      <w:start w:val="1"/>
      <w:numFmt w:val="bullet"/>
      <w:lvlText w:val=""/>
      <w:lvlJc w:val="left"/>
      <w:pPr>
        <w:ind w:left="5040" w:hanging="360"/>
      </w:pPr>
      <w:rPr>
        <w:rFonts w:ascii="Symbol" w:hAnsi="Symbol" w:hint="default"/>
      </w:rPr>
    </w:lvl>
    <w:lvl w:ilvl="7" w:tplc="B1F0CE94">
      <w:start w:val="1"/>
      <w:numFmt w:val="bullet"/>
      <w:lvlText w:val="o"/>
      <w:lvlJc w:val="left"/>
      <w:pPr>
        <w:ind w:left="5760" w:hanging="360"/>
      </w:pPr>
      <w:rPr>
        <w:rFonts w:ascii="Courier New" w:hAnsi="Courier New" w:hint="default"/>
      </w:rPr>
    </w:lvl>
    <w:lvl w:ilvl="8" w:tplc="B93477F4">
      <w:start w:val="1"/>
      <w:numFmt w:val="bullet"/>
      <w:lvlText w:val=""/>
      <w:lvlJc w:val="left"/>
      <w:pPr>
        <w:ind w:left="6480" w:hanging="360"/>
      </w:pPr>
      <w:rPr>
        <w:rFonts w:ascii="Wingdings" w:hAnsi="Wingdings" w:hint="default"/>
      </w:rPr>
    </w:lvl>
  </w:abstractNum>
  <w:abstractNum w:abstractNumId="2" w15:restartNumberingAfterBreak="0">
    <w:nsid w:val="085604D0"/>
    <w:multiLevelType w:val="hybridMultilevel"/>
    <w:tmpl w:val="ABBA7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B2C182"/>
    <w:multiLevelType w:val="hybridMultilevel"/>
    <w:tmpl w:val="FFFFFFFF"/>
    <w:lvl w:ilvl="0" w:tplc="3D10F17A">
      <w:start w:val="1"/>
      <w:numFmt w:val="bullet"/>
      <w:lvlText w:val=""/>
      <w:lvlJc w:val="left"/>
      <w:pPr>
        <w:ind w:left="720" w:hanging="360"/>
      </w:pPr>
      <w:rPr>
        <w:rFonts w:ascii="Symbol" w:hAnsi="Symbol" w:hint="default"/>
      </w:rPr>
    </w:lvl>
    <w:lvl w:ilvl="1" w:tplc="882C6470">
      <w:start w:val="1"/>
      <w:numFmt w:val="bullet"/>
      <w:lvlText w:val="o"/>
      <w:lvlJc w:val="left"/>
      <w:pPr>
        <w:ind w:left="1440" w:hanging="360"/>
      </w:pPr>
      <w:rPr>
        <w:rFonts w:ascii="Courier New" w:hAnsi="Courier New" w:hint="default"/>
      </w:rPr>
    </w:lvl>
    <w:lvl w:ilvl="2" w:tplc="961414B6">
      <w:start w:val="1"/>
      <w:numFmt w:val="bullet"/>
      <w:lvlText w:val=""/>
      <w:lvlJc w:val="left"/>
      <w:pPr>
        <w:ind w:left="2160" w:hanging="360"/>
      </w:pPr>
      <w:rPr>
        <w:rFonts w:ascii="Wingdings" w:hAnsi="Wingdings" w:hint="default"/>
      </w:rPr>
    </w:lvl>
    <w:lvl w:ilvl="3" w:tplc="EA704E62">
      <w:start w:val="1"/>
      <w:numFmt w:val="bullet"/>
      <w:lvlText w:val=""/>
      <w:lvlJc w:val="left"/>
      <w:pPr>
        <w:ind w:left="2880" w:hanging="360"/>
      </w:pPr>
      <w:rPr>
        <w:rFonts w:ascii="Symbol" w:hAnsi="Symbol" w:hint="default"/>
      </w:rPr>
    </w:lvl>
    <w:lvl w:ilvl="4" w:tplc="5F4447FA">
      <w:start w:val="1"/>
      <w:numFmt w:val="bullet"/>
      <w:lvlText w:val="o"/>
      <w:lvlJc w:val="left"/>
      <w:pPr>
        <w:ind w:left="3600" w:hanging="360"/>
      </w:pPr>
      <w:rPr>
        <w:rFonts w:ascii="Courier New" w:hAnsi="Courier New" w:hint="default"/>
      </w:rPr>
    </w:lvl>
    <w:lvl w:ilvl="5" w:tplc="D8DC122A">
      <w:start w:val="1"/>
      <w:numFmt w:val="bullet"/>
      <w:lvlText w:val=""/>
      <w:lvlJc w:val="left"/>
      <w:pPr>
        <w:ind w:left="4320" w:hanging="360"/>
      </w:pPr>
      <w:rPr>
        <w:rFonts w:ascii="Wingdings" w:hAnsi="Wingdings" w:hint="default"/>
      </w:rPr>
    </w:lvl>
    <w:lvl w:ilvl="6" w:tplc="20DC09A2">
      <w:start w:val="1"/>
      <w:numFmt w:val="bullet"/>
      <w:lvlText w:val=""/>
      <w:lvlJc w:val="left"/>
      <w:pPr>
        <w:ind w:left="5040" w:hanging="360"/>
      </w:pPr>
      <w:rPr>
        <w:rFonts w:ascii="Symbol" w:hAnsi="Symbol" w:hint="default"/>
      </w:rPr>
    </w:lvl>
    <w:lvl w:ilvl="7" w:tplc="DB7A72A2">
      <w:start w:val="1"/>
      <w:numFmt w:val="bullet"/>
      <w:lvlText w:val="o"/>
      <w:lvlJc w:val="left"/>
      <w:pPr>
        <w:ind w:left="5760" w:hanging="360"/>
      </w:pPr>
      <w:rPr>
        <w:rFonts w:ascii="Courier New" w:hAnsi="Courier New" w:hint="default"/>
      </w:rPr>
    </w:lvl>
    <w:lvl w:ilvl="8" w:tplc="4790BF3C">
      <w:start w:val="1"/>
      <w:numFmt w:val="bullet"/>
      <w:lvlText w:val=""/>
      <w:lvlJc w:val="left"/>
      <w:pPr>
        <w:ind w:left="6480" w:hanging="360"/>
      </w:pPr>
      <w:rPr>
        <w:rFonts w:ascii="Wingdings" w:hAnsi="Wingdings" w:hint="default"/>
      </w:rPr>
    </w:lvl>
  </w:abstractNum>
  <w:abstractNum w:abstractNumId="4" w15:restartNumberingAfterBreak="0">
    <w:nsid w:val="0E6E3A71"/>
    <w:multiLevelType w:val="hybridMultilevel"/>
    <w:tmpl w:val="18F26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12D245"/>
    <w:multiLevelType w:val="hybridMultilevel"/>
    <w:tmpl w:val="03DEBC5E"/>
    <w:lvl w:ilvl="0" w:tplc="E0DCFB56">
      <w:start w:val="1"/>
      <w:numFmt w:val="bullet"/>
      <w:lvlText w:val=""/>
      <w:lvlJc w:val="left"/>
      <w:pPr>
        <w:ind w:left="720" w:hanging="360"/>
      </w:pPr>
      <w:rPr>
        <w:rFonts w:ascii="Symbol" w:hAnsi="Symbol" w:hint="default"/>
      </w:rPr>
    </w:lvl>
    <w:lvl w:ilvl="1" w:tplc="A5CAE04E">
      <w:start w:val="1"/>
      <w:numFmt w:val="bullet"/>
      <w:lvlText w:val="o"/>
      <w:lvlJc w:val="left"/>
      <w:pPr>
        <w:ind w:left="1440" w:hanging="360"/>
      </w:pPr>
      <w:rPr>
        <w:rFonts w:ascii="Courier New" w:hAnsi="Courier New" w:hint="default"/>
      </w:rPr>
    </w:lvl>
    <w:lvl w:ilvl="2" w:tplc="B020334C">
      <w:start w:val="1"/>
      <w:numFmt w:val="bullet"/>
      <w:lvlText w:val=""/>
      <w:lvlJc w:val="left"/>
      <w:pPr>
        <w:ind w:left="2160" w:hanging="360"/>
      </w:pPr>
      <w:rPr>
        <w:rFonts w:ascii="Wingdings" w:hAnsi="Wingdings" w:hint="default"/>
      </w:rPr>
    </w:lvl>
    <w:lvl w:ilvl="3" w:tplc="6D549474">
      <w:start w:val="1"/>
      <w:numFmt w:val="bullet"/>
      <w:lvlText w:val=""/>
      <w:lvlJc w:val="left"/>
      <w:pPr>
        <w:ind w:left="2880" w:hanging="360"/>
      </w:pPr>
      <w:rPr>
        <w:rFonts w:ascii="Symbol" w:hAnsi="Symbol" w:hint="default"/>
      </w:rPr>
    </w:lvl>
    <w:lvl w:ilvl="4" w:tplc="C3A8BC20">
      <w:start w:val="1"/>
      <w:numFmt w:val="bullet"/>
      <w:lvlText w:val="o"/>
      <w:lvlJc w:val="left"/>
      <w:pPr>
        <w:ind w:left="3600" w:hanging="360"/>
      </w:pPr>
      <w:rPr>
        <w:rFonts w:ascii="Courier New" w:hAnsi="Courier New" w:hint="default"/>
      </w:rPr>
    </w:lvl>
    <w:lvl w:ilvl="5" w:tplc="9F5064BE">
      <w:start w:val="1"/>
      <w:numFmt w:val="bullet"/>
      <w:lvlText w:val=""/>
      <w:lvlJc w:val="left"/>
      <w:pPr>
        <w:ind w:left="4320" w:hanging="360"/>
      </w:pPr>
      <w:rPr>
        <w:rFonts w:ascii="Wingdings" w:hAnsi="Wingdings" w:hint="default"/>
      </w:rPr>
    </w:lvl>
    <w:lvl w:ilvl="6" w:tplc="3762298C">
      <w:start w:val="1"/>
      <w:numFmt w:val="bullet"/>
      <w:lvlText w:val=""/>
      <w:lvlJc w:val="left"/>
      <w:pPr>
        <w:ind w:left="5040" w:hanging="360"/>
      </w:pPr>
      <w:rPr>
        <w:rFonts w:ascii="Symbol" w:hAnsi="Symbol" w:hint="default"/>
      </w:rPr>
    </w:lvl>
    <w:lvl w:ilvl="7" w:tplc="49166978">
      <w:start w:val="1"/>
      <w:numFmt w:val="bullet"/>
      <w:lvlText w:val="o"/>
      <w:lvlJc w:val="left"/>
      <w:pPr>
        <w:ind w:left="5760" w:hanging="360"/>
      </w:pPr>
      <w:rPr>
        <w:rFonts w:ascii="Courier New" w:hAnsi="Courier New" w:hint="default"/>
      </w:rPr>
    </w:lvl>
    <w:lvl w:ilvl="8" w:tplc="ABF66910">
      <w:start w:val="1"/>
      <w:numFmt w:val="bullet"/>
      <w:lvlText w:val=""/>
      <w:lvlJc w:val="left"/>
      <w:pPr>
        <w:ind w:left="6480" w:hanging="360"/>
      </w:pPr>
      <w:rPr>
        <w:rFonts w:ascii="Wingdings" w:hAnsi="Wingdings" w:hint="default"/>
      </w:rPr>
    </w:lvl>
  </w:abstractNum>
  <w:abstractNum w:abstractNumId="6" w15:restartNumberingAfterBreak="0">
    <w:nsid w:val="271F1B4C"/>
    <w:multiLevelType w:val="hybridMultilevel"/>
    <w:tmpl w:val="CE66C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BD4CD0"/>
    <w:multiLevelType w:val="hybridMultilevel"/>
    <w:tmpl w:val="3B246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6D6449"/>
    <w:multiLevelType w:val="hybridMultilevel"/>
    <w:tmpl w:val="3DE25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D10D7F"/>
    <w:multiLevelType w:val="hybridMultilevel"/>
    <w:tmpl w:val="FFFFFFFF"/>
    <w:lvl w:ilvl="0" w:tplc="07F8F3AC">
      <w:start w:val="1"/>
      <w:numFmt w:val="bullet"/>
      <w:lvlText w:val=""/>
      <w:lvlJc w:val="left"/>
      <w:pPr>
        <w:ind w:left="720" w:hanging="360"/>
      </w:pPr>
      <w:rPr>
        <w:rFonts w:ascii="Symbol" w:hAnsi="Symbol" w:hint="default"/>
      </w:rPr>
    </w:lvl>
    <w:lvl w:ilvl="1" w:tplc="95C0947E">
      <w:start w:val="1"/>
      <w:numFmt w:val="bullet"/>
      <w:lvlText w:val="o"/>
      <w:lvlJc w:val="left"/>
      <w:pPr>
        <w:ind w:left="1440" w:hanging="360"/>
      </w:pPr>
      <w:rPr>
        <w:rFonts w:ascii="Courier New" w:hAnsi="Courier New" w:hint="default"/>
      </w:rPr>
    </w:lvl>
    <w:lvl w:ilvl="2" w:tplc="15BE7040">
      <w:start w:val="1"/>
      <w:numFmt w:val="bullet"/>
      <w:lvlText w:val=""/>
      <w:lvlJc w:val="left"/>
      <w:pPr>
        <w:ind w:left="2160" w:hanging="360"/>
      </w:pPr>
      <w:rPr>
        <w:rFonts w:ascii="Wingdings" w:hAnsi="Wingdings" w:hint="default"/>
      </w:rPr>
    </w:lvl>
    <w:lvl w:ilvl="3" w:tplc="CF44F7F4">
      <w:start w:val="1"/>
      <w:numFmt w:val="bullet"/>
      <w:lvlText w:val=""/>
      <w:lvlJc w:val="left"/>
      <w:pPr>
        <w:ind w:left="2880" w:hanging="360"/>
      </w:pPr>
      <w:rPr>
        <w:rFonts w:ascii="Symbol" w:hAnsi="Symbol" w:hint="default"/>
      </w:rPr>
    </w:lvl>
    <w:lvl w:ilvl="4" w:tplc="0C84A86A">
      <w:start w:val="1"/>
      <w:numFmt w:val="bullet"/>
      <w:lvlText w:val="o"/>
      <w:lvlJc w:val="left"/>
      <w:pPr>
        <w:ind w:left="3600" w:hanging="360"/>
      </w:pPr>
      <w:rPr>
        <w:rFonts w:ascii="Courier New" w:hAnsi="Courier New" w:hint="default"/>
      </w:rPr>
    </w:lvl>
    <w:lvl w:ilvl="5" w:tplc="769823DC">
      <w:start w:val="1"/>
      <w:numFmt w:val="bullet"/>
      <w:lvlText w:val=""/>
      <w:lvlJc w:val="left"/>
      <w:pPr>
        <w:ind w:left="4320" w:hanging="360"/>
      </w:pPr>
      <w:rPr>
        <w:rFonts w:ascii="Wingdings" w:hAnsi="Wingdings" w:hint="default"/>
      </w:rPr>
    </w:lvl>
    <w:lvl w:ilvl="6" w:tplc="FC260B80">
      <w:start w:val="1"/>
      <w:numFmt w:val="bullet"/>
      <w:lvlText w:val=""/>
      <w:lvlJc w:val="left"/>
      <w:pPr>
        <w:ind w:left="5040" w:hanging="360"/>
      </w:pPr>
      <w:rPr>
        <w:rFonts w:ascii="Symbol" w:hAnsi="Symbol" w:hint="default"/>
      </w:rPr>
    </w:lvl>
    <w:lvl w:ilvl="7" w:tplc="940C049E">
      <w:start w:val="1"/>
      <w:numFmt w:val="bullet"/>
      <w:lvlText w:val="o"/>
      <w:lvlJc w:val="left"/>
      <w:pPr>
        <w:ind w:left="5760" w:hanging="360"/>
      </w:pPr>
      <w:rPr>
        <w:rFonts w:ascii="Courier New" w:hAnsi="Courier New" w:hint="default"/>
      </w:rPr>
    </w:lvl>
    <w:lvl w:ilvl="8" w:tplc="6FDE0138">
      <w:start w:val="1"/>
      <w:numFmt w:val="bullet"/>
      <w:lvlText w:val=""/>
      <w:lvlJc w:val="left"/>
      <w:pPr>
        <w:ind w:left="6480" w:hanging="360"/>
      </w:pPr>
      <w:rPr>
        <w:rFonts w:ascii="Wingdings" w:hAnsi="Wingdings" w:hint="default"/>
      </w:rPr>
    </w:lvl>
  </w:abstractNum>
  <w:abstractNum w:abstractNumId="10" w15:restartNumberingAfterBreak="0">
    <w:nsid w:val="34ED28AB"/>
    <w:multiLevelType w:val="hybridMultilevel"/>
    <w:tmpl w:val="B8B0E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1DBD74"/>
    <w:multiLevelType w:val="hybridMultilevel"/>
    <w:tmpl w:val="FFFFFFFF"/>
    <w:lvl w:ilvl="0" w:tplc="F09EA606">
      <w:start w:val="1"/>
      <w:numFmt w:val="bullet"/>
      <w:lvlText w:val=""/>
      <w:lvlJc w:val="left"/>
      <w:pPr>
        <w:ind w:left="720" w:hanging="360"/>
      </w:pPr>
      <w:rPr>
        <w:rFonts w:ascii="Symbol" w:hAnsi="Symbol" w:hint="default"/>
      </w:rPr>
    </w:lvl>
    <w:lvl w:ilvl="1" w:tplc="AA8099C0">
      <w:start w:val="1"/>
      <w:numFmt w:val="bullet"/>
      <w:lvlText w:val="o"/>
      <w:lvlJc w:val="left"/>
      <w:pPr>
        <w:ind w:left="1440" w:hanging="360"/>
      </w:pPr>
      <w:rPr>
        <w:rFonts w:ascii="Courier New" w:hAnsi="Courier New" w:hint="default"/>
      </w:rPr>
    </w:lvl>
    <w:lvl w:ilvl="2" w:tplc="D15E79CE">
      <w:start w:val="1"/>
      <w:numFmt w:val="bullet"/>
      <w:lvlText w:val=""/>
      <w:lvlJc w:val="left"/>
      <w:pPr>
        <w:ind w:left="2160" w:hanging="360"/>
      </w:pPr>
      <w:rPr>
        <w:rFonts w:ascii="Wingdings" w:hAnsi="Wingdings" w:hint="default"/>
      </w:rPr>
    </w:lvl>
    <w:lvl w:ilvl="3" w:tplc="617E845A">
      <w:start w:val="1"/>
      <w:numFmt w:val="bullet"/>
      <w:lvlText w:val=""/>
      <w:lvlJc w:val="left"/>
      <w:pPr>
        <w:ind w:left="2880" w:hanging="360"/>
      </w:pPr>
      <w:rPr>
        <w:rFonts w:ascii="Symbol" w:hAnsi="Symbol" w:hint="default"/>
      </w:rPr>
    </w:lvl>
    <w:lvl w:ilvl="4" w:tplc="0BB435BC">
      <w:start w:val="1"/>
      <w:numFmt w:val="bullet"/>
      <w:lvlText w:val="o"/>
      <w:lvlJc w:val="left"/>
      <w:pPr>
        <w:ind w:left="3600" w:hanging="360"/>
      </w:pPr>
      <w:rPr>
        <w:rFonts w:ascii="Courier New" w:hAnsi="Courier New" w:hint="default"/>
      </w:rPr>
    </w:lvl>
    <w:lvl w:ilvl="5" w:tplc="B6243182">
      <w:start w:val="1"/>
      <w:numFmt w:val="bullet"/>
      <w:lvlText w:val=""/>
      <w:lvlJc w:val="left"/>
      <w:pPr>
        <w:ind w:left="4320" w:hanging="360"/>
      </w:pPr>
      <w:rPr>
        <w:rFonts w:ascii="Wingdings" w:hAnsi="Wingdings" w:hint="default"/>
      </w:rPr>
    </w:lvl>
    <w:lvl w:ilvl="6" w:tplc="B75614E2">
      <w:start w:val="1"/>
      <w:numFmt w:val="bullet"/>
      <w:lvlText w:val=""/>
      <w:lvlJc w:val="left"/>
      <w:pPr>
        <w:ind w:left="5040" w:hanging="360"/>
      </w:pPr>
      <w:rPr>
        <w:rFonts w:ascii="Symbol" w:hAnsi="Symbol" w:hint="default"/>
      </w:rPr>
    </w:lvl>
    <w:lvl w:ilvl="7" w:tplc="759EB324">
      <w:start w:val="1"/>
      <w:numFmt w:val="bullet"/>
      <w:lvlText w:val="o"/>
      <w:lvlJc w:val="left"/>
      <w:pPr>
        <w:ind w:left="5760" w:hanging="360"/>
      </w:pPr>
      <w:rPr>
        <w:rFonts w:ascii="Courier New" w:hAnsi="Courier New" w:hint="default"/>
      </w:rPr>
    </w:lvl>
    <w:lvl w:ilvl="8" w:tplc="130E75D8">
      <w:start w:val="1"/>
      <w:numFmt w:val="bullet"/>
      <w:lvlText w:val=""/>
      <w:lvlJc w:val="left"/>
      <w:pPr>
        <w:ind w:left="6480" w:hanging="360"/>
      </w:pPr>
      <w:rPr>
        <w:rFonts w:ascii="Wingdings" w:hAnsi="Wingdings" w:hint="default"/>
      </w:rPr>
    </w:lvl>
  </w:abstractNum>
  <w:abstractNum w:abstractNumId="12" w15:restartNumberingAfterBreak="0">
    <w:nsid w:val="38C8B50B"/>
    <w:multiLevelType w:val="multilevel"/>
    <w:tmpl w:val="30D487B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3D6C26BF"/>
    <w:multiLevelType w:val="multilevel"/>
    <w:tmpl w:val="3552FA26"/>
    <w:lvl w:ilvl="0">
      <w:start w:val="1"/>
      <w:numFmt w:val="decimal"/>
      <w:lvlText w:val="%1"/>
      <w:lvlJc w:val="left"/>
      <w:pPr>
        <w:ind w:left="432" w:hanging="432"/>
      </w:pPr>
    </w:lvl>
    <w:lvl w:ilvl="1">
      <w:start w:val="1"/>
      <w:numFmt w:val="decimal"/>
      <w:pStyle w:val="Heading2"/>
      <w:lvlText w:val="%1.%2"/>
      <w:lvlJc w:val="left"/>
      <w:pPr>
        <w:ind w:left="576" w:hanging="576"/>
      </w:pPr>
      <w:rPr>
        <w:rFonts w:ascii="Verdana" w:hAnsi="Verdana" w:hint="default"/>
      </w:rPr>
    </w:lvl>
    <w:lvl w:ilvl="2">
      <w:start w:val="1"/>
      <w:numFmt w:val="decimal"/>
      <w:pStyle w:val="Heading3"/>
      <w:lvlText w:val="%1.%2.%3"/>
      <w:lvlJc w:val="left"/>
      <w:pPr>
        <w:ind w:left="720" w:hanging="720"/>
      </w:pPr>
      <w:rPr>
        <w:rFonts w:ascii="Verdana" w:hAnsi="Verdana" w:hint="default"/>
        <w:i w:val="0"/>
        <w:iCs w:val="0"/>
        <w:sz w:val="22"/>
        <w:szCs w:val="22"/>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3D94199D"/>
    <w:multiLevelType w:val="hybridMultilevel"/>
    <w:tmpl w:val="9A30A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862264"/>
    <w:multiLevelType w:val="hybridMultilevel"/>
    <w:tmpl w:val="F16E9504"/>
    <w:lvl w:ilvl="0" w:tplc="5C105804">
      <w:start w:val="1"/>
      <w:numFmt w:val="decimal"/>
      <w:lvlText w:val="%1."/>
      <w:lvlJc w:val="left"/>
      <w:pPr>
        <w:ind w:left="360" w:hanging="360"/>
      </w:pPr>
    </w:lvl>
    <w:lvl w:ilvl="1" w:tplc="1EF61782">
      <w:start w:val="1"/>
      <w:numFmt w:val="lowerLetter"/>
      <w:lvlText w:val="%2."/>
      <w:lvlJc w:val="left"/>
      <w:pPr>
        <w:ind w:left="1080" w:hanging="360"/>
      </w:pPr>
    </w:lvl>
    <w:lvl w:ilvl="2" w:tplc="5928B466">
      <w:start w:val="1"/>
      <w:numFmt w:val="lowerRoman"/>
      <w:lvlText w:val="%3."/>
      <w:lvlJc w:val="right"/>
      <w:pPr>
        <w:ind w:left="1800" w:hanging="180"/>
      </w:pPr>
    </w:lvl>
    <w:lvl w:ilvl="3" w:tplc="53600256">
      <w:start w:val="1"/>
      <w:numFmt w:val="decimal"/>
      <w:lvlText w:val="%4."/>
      <w:lvlJc w:val="left"/>
      <w:pPr>
        <w:ind w:left="2520" w:hanging="360"/>
      </w:pPr>
    </w:lvl>
    <w:lvl w:ilvl="4" w:tplc="1A2C8FE4">
      <w:start w:val="1"/>
      <w:numFmt w:val="lowerLetter"/>
      <w:lvlText w:val="%5."/>
      <w:lvlJc w:val="left"/>
      <w:pPr>
        <w:ind w:left="3240" w:hanging="360"/>
      </w:pPr>
    </w:lvl>
    <w:lvl w:ilvl="5" w:tplc="892CCFE8">
      <w:start w:val="1"/>
      <w:numFmt w:val="lowerRoman"/>
      <w:lvlText w:val="%6."/>
      <w:lvlJc w:val="right"/>
      <w:pPr>
        <w:ind w:left="3960" w:hanging="180"/>
      </w:pPr>
    </w:lvl>
    <w:lvl w:ilvl="6" w:tplc="98B849CC">
      <w:start w:val="1"/>
      <w:numFmt w:val="decimal"/>
      <w:lvlText w:val="%7."/>
      <w:lvlJc w:val="left"/>
      <w:pPr>
        <w:ind w:left="4680" w:hanging="360"/>
      </w:pPr>
    </w:lvl>
    <w:lvl w:ilvl="7" w:tplc="AEF8D9E2">
      <w:start w:val="1"/>
      <w:numFmt w:val="lowerLetter"/>
      <w:lvlText w:val="%8."/>
      <w:lvlJc w:val="left"/>
      <w:pPr>
        <w:ind w:left="5400" w:hanging="360"/>
      </w:pPr>
    </w:lvl>
    <w:lvl w:ilvl="8" w:tplc="4616200A">
      <w:start w:val="1"/>
      <w:numFmt w:val="lowerRoman"/>
      <w:lvlText w:val="%9."/>
      <w:lvlJc w:val="right"/>
      <w:pPr>
        <w:ind w:left="6120" w:hanging="180"/>
      </w:pPr>
    </w:lvl>
  </w:abstractNum>
  <w:abstractNum w:abstractNumId="16" w15:restartNumberingAfterBreak="0">
    <w:nsid w:val="46A3B271"/>
    <w:multiLevelType w:val="hybridMultilevel"/>
    <w:tmpl w:val="FFFFFFFF"/>
    <w:lvl w:ilvl="0" w:tplc="4E706E36">
      <w:start w:val="1"/>
      <w:numFmt w:val="bullet"/>
      <w:lvlText w:val=""/>
      <w:lvlJc w:val="left"/>
      <w:pPr>
        <w:ind w:left="720" w:hanging="360"/>
      </w:pPr>
      <w:rPr>
        <w:rFonts w:ascii="Symbol" w:hAnsi="Symbol" w:hint="default"/>
      </w:rPr>
    </w:lvl>
    <w:lvl w:ilvl="1" w:tplc="A95A7C80">
      <w:start w:val="1"/>
      <w:numFmt w:val="bullet"/>
      <w:lvlText w:val="o"/>
      <w:lvlJc w:val="left"/>
      <w:pPr>
        <w:ind w:left="1440" w:hanging="360"/>
      </w:pPr>
      <w:rPr>
        <w:rFonts w:ascii="Courier New" w:hAnsi="Courier New" w:hint="default"/>
      </w:rPr>
    </w:lvl>
    <w:lvl w:ilvl="2" w:tplc="DA08FDB2">
      <w:start w:val="1"/>
      <w:numFmt w:val="bullet"/>
      <w:lvlText w:val=""/>
      <w:lvlJc w:val="left"/>
      <w:pPr>
        <w:ind w:left="2160" w:hanging="360"/>
      </w:pPr>
      <w:rPr>
        <w:rFonts w:ascii="Wingdings" w:hAnsi="Wingdings" w:hint="default"/>
      </w:rPr>
    </w:lvl>
    <w:lvl w:ilvl="3" w:tplc="3242637C">
      <w:start w:val="1"/>
      <w:numFmt w:val="bullet"/>
      <w:lvlText w:val=""/>
      <w:lvlJc w:val="left"/>
      <w:pPr>
        <w:ind w:left="2880" w:hanging="360"/>
      </w:pPr>
      <w:rPr>
        <w:rFonts w:ascii="Symbol" w:hAnsi="Symbol" w:hint="default"/>
      </w:rPr>
    </w:lvl>
    <w:lvl w:ilvl="4" w:tplc="EE2E0D2E">
      <w:start w:val="1"/>
      <w:numFmt w:val="bullet"/>
      <w:lvlText w:val="o"/>
      <w:lvlJc w:val="left"/>
      <w:pPr>
        <w:ind w:left="3600" w:hanging="360"/>
      </w:pPr>
      <w:rPr>
        <w:rFonts w:ascii="Courier New" w:hAnsi="Courier New" w:hint="default"/>
      </w:rPr>
    </w:lvl>
    <w:lvl w:ilvl="5" w:tplc="E57EB020">
      <w:start w:val="1"/>
      <w:numFmt w:val="bullet"/>
      <w:lvlText w:val=""/>
      <w:lvlJc w:val="left"/>
      <w:pPr>
        <w:ind w:left="4320" w:hanging="360"/>
      </w:pPr>
      <w:rPr>
        <w:rFonts w:ascii="Wingdings" w:hAnsi="Wingdings" w:hint="default"/>
      </w:rPr>
    </w:lvl>
    <w:lvl w:ilvl="6" w:tplc="4718B1DA">
      <w:start w:val="1"/>
      <w:numFmt w:val="bullet"/>
      <w:lvlText w:val=""/>
      <w:lvlJc w:val="left"/>
      <w:pPr>
        <w:ind w:left="5040" w:hanging="360"/>
      </w:pPr>
      <w:rPr>
        <w:rFonts w:ascii="Symbol" w:hAnsi="Symbol" w:hint="default"/>
      </w:rPr>
    </w:lvl>
    <w:lvl w:ilvl="7" w:tplc="AAAE4702">
      <w:start w:val="1"/>
      <w:numFmt w:val="bullet"/>
      <w:lvlText w:val="o"/>
      <w:lvlJc w:val="left"/>
      <w:pPr>
        <w:ind w:left="5760" w:hanging="360"/>
      </w:pPr>
      <w:rPr>
        <w:rFonts w:ascii="Courier New" w:hAnsi="Courier New" w:hint="default"/>
      </w:rPr>
    </w:lvl>
    <w:lvl w:ilvl="8" w:tplc="9696A344">
      <w:start w:val="1"/>
      <w:numFmt w:val="bullet"/>
      <w:lvlText w:val=""/>
      <w:lvlJc w:val="left"/>
      <w:pPr>
        <w:ind w:left="6480" w:hanging="360"/>
      </w:pPr>
      <w:rPr>
        <w:rFonts w:ascii="Wingdings" w:hAnsi="Wingdings" w:hint="default"/>
      </w:rPr>
    </w:lvl>
  </w:abstractNum>
  <w:abstractNum w:abstractNumId="17" w15:restartNumberingAfterBreak="0">
    <w:nsid w:val="4B8E4B90"/>
    <w:multiLevelType w:val="hybridMultilevel"/>
    <w:tmpl w:val="1BACF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7EFD6C"/>
    <w:multiLevelType w:val="multilevel"/>
    <w:tmpl w:val="FFFFFFFF"/>
    <w:lvl w:ilvl="0">
      <w:start w:val="1"/>
      <w:numFmt w:val="decimal"/>
      <w:pStyle w:val="Heading1"/>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0F12088"/>
    <w:multiLevelType w:val="hybridMultilevel"/>
    <w:tmpl w:val="FFFFFFFF"/>
    <w:lvl w:ilvl="0" w:tplc="7FA681D0">
      <w:start w:val="1"/>
      <w:numFmt w:val="bullet"/>
      <w:lvlText w:val=""/>
      <w:lvlJc w:val="left"/>
      <w:pPr>
        <w:ind w:left="720" w:hanging="360"/>
      </w:pPr>
      <w:rPr>
        <w:rFonts w:ascii="Symbol" w:hAnsi="Symbol" w:hint="default"/>
      </w:rPr>
    </w:lvl>
    <w:lvl w:ilvl="1" w:tplc="66E4C01C">
      <w:start w:val="1"/>
      <w:numFmt w:val="bullet"/>
      <w:lvlText w:val="o"/>
      <w:lvlJc w:val="left"/>
      <w:pPr>
        <w:ind w:left="1440" w:hanging="360"/>
      </w:pPr>
      <w:rPr>
        <w:rFonts w:ascii="Courier New" w:hAnsi="Courier New" w:hint="default"/>
      </w:rPr>
    </w:lvl>
    <w:lvl w:ilvl="2" w:tplc="A5D4668E">
      <w:start w:val="1"/>
      <w:numFmt w:val="bullet"/>
      <w:lvlText w:val=""/>
      <w:lvlJc w:val="left"/>
      <w:pPr>
        <w:ind w:left="2160" w:hanging="360"/>
      </w:pPr>
      <w:rPr>
        <w:rFonts w:ascii="Wingdings" w:hAnsi="Wingdings" w:hint="default"/>
      </w:rPr>
    </w:lvl>
    <w:lvl w:ilvl="3" w:tplc="E2F8D83A">
      <w:start w:val="1"/>
      <w:numFmt w:val="bullet"/>
      <w:lvlText w:val=""/>
      <w:lvlJc w:val="left"/>
      <w:pPr>
        <w:ind w:left="2880" w:hanging="360"/>
      </w:pPr>
      <w:rPr>
        <w:rFonts w:ascii="Symbol" w:hAnsi="Symbol" w:hint="default"/>
      </w:rPr>
    </w:lvl>
    <w:lvl w:ilvl="4" w:tplc="B986FC88">
      <w:start w:val="1"/>
      <w:numFmt w:val="bullet"/>
      <w:lvlText w:val="o"/>
      <w:lvlJc w:val="left"/>
      <w:pPr>
        <w:ind w:left="3600" w:hanging="360"/>
      </w:pPr>
      <w:rPr>
        <w:rFonts w:ascii="Courier New" w:hAnsi="Courier New" w:hint="default"/>
      </w:rPr>
    </w:lvl>
    <w:lvl w:ilvl="5" w:tplc="A3B042E2">
      <w:start w:val="1"/>
      <w:numFmt w:val="bullet"/>
      <w:lvlText w:val=""/>
      <w:lvlJc w:val="left"/>
      <w:pPr>
        <w:ind w:left="4320" w:hanging="360"/>
      </w:pPr>
      <w:rPr>
        <w:rFonts w:ascii="Wingdings" w:hAnsi="Wingdings" w:hint="default"/>
      </w:rPr>
    </w:lvl>
    <w:lvl w:ilvl="6" w:tplc="428C5300">
      <w:start w:val="1"/>
      <w:numFmt w:val="bullet"/>
      <w:lvlText w:val=""/>
      <w:lvlJc w:val="left"/>
      <w:pPr>
        <w:ind w:left="5040" w:hanging="360"/>
      </w:pPr>
      <w:rPr>
        <w:rFonts w:ascii="Symbol" w:hAnsi="Symbol" w:hint="default"/>
      </w:rPr>
    </w:lvl>
    <w:lvl w:ilvl="7" w:tplc="B6BCFCB4">
      <w:start w:val="1"/>
      <w:numFmt w:val="bullet"/>
      <w:lvlText w:val="o"/>
      <w:lvlJc w:val="left"/>
      <w:pPr>
        <w:ind w:left="5760" w:hanging="360"/>
      </w:pPr>
      <w:rPr>
        <w:rFonts w:ascii="Courier New" w:hAnsi="Courier New" w:hint="default"/>
      </w:rPr>
    </w:lvl>
    <w:lvl w:ilvl="8" w:tplc="4934B50E">
      <w:start w:val="1"/>
      <w:numFmt w:val="bullet"/>
      <w:lvlText w:val=""/>
      <w:lvlJc w:val="left"/>
      <w:pPr>
        <w:ind w:left="6480" w:hanging="360"/>
      </w:pPr>
      <w:rPr>
        <w:rFonts w:ascii="Wingdings" w:hAnsi="Wingdings" w:hint="default"/>
      </w:rPr>
    </w:lvl>
  </w:abstractNum>
  <w:abstractNum w:abstractNumId="20" w15:restartNumberingAfterBreak="0">
    <w:nsid w:val="523983E1"/>
    <w:multiLevelType w:val="hybridMultilevel"/>
    <w:tmpl w:val="FFFFFFFF"/>
    <w:lvl w:ilvl="0" w:tplc="5B16CBE2">
      <w:start w:val="1"/>
      <w:numFmt w:val="bullet"/>
      <w:lvlText w:val=""/>
      <w:lvlJc w:val="left"/>
      <w:pPr>
        <w:ind w:left="720" w:hanging="360"/>
      </w:pPr>
      <w:rPr>
        <w:rFonts w:ascii="Symbol" w:hAnsi="Symbol" w:hint="default"/>
      </w:rPr>
    </w:lvl>
    <w:lvl w:ilvl="1" w:tplc="4E4E911E">
      <w:start w:val="1"/>
      <w:numFmt w:val="bullet"/>
      <w:lvlText w:val="o"/>
      <w:lvlJc w:val="left"/>
      <w:pPr>
        <w:ind w:left="1440" w:hanging="360"/>
      </w:pPr>
      <w:rPr>
        <w:rFonts w:ascii="Courier New" w:hAnsi="Courier New" w:hint="default"/>
      </w:rPr>
    </w:lvl>
    <w:lvl w:ilvl="2" w:tplc="97AC4824">
      <w:start w:val="1"/>
      <w:numFmt w:val="bullet"/>
      <w:lvlText w:val=""/>
      <w:lvlJc w:val="left"/>
      <w:pPr>
        <w:ind w:left="2160" w:hanging="360"/>
      </w:pPr>
      <w:rPr>
        <w:rFonts w:ascii="Wingdings" w:hAnsi="Wingdings" w:hint="default"/>
      </w:rPr>
    </w:lvl>
    <w:lvl w:ilvl="3" w:tplc="FC2CE37E">
      <w:start w:val="1"/>
      <w:numFmt w:val="bullet"/>
      <w:lvlText w:val=""/>
      <w:lvlJc w:val="left"/>
      <w:pPr>
        <w:ind w:left="2880" w:hanging="360"/>
      </w:pPr>
      <w:rPr>
        <w:rFonts w:ascii="Symbol" w:hAnsi="Symbol" w:hint="default"/>
      </w:rPr>
    </w:lvl>
    <w:lvl w:ilvl="4" w:tplc="F9327920">
      <w:start w:val="1"/>
      <w:numFmt w:val="bullet"/>
      <w:lvlText w:val="o"/>
      <w:lvlJc w:val="left"/>
      <w:pPr>
        <w:ind w:left="3600" w:hanging="360"/>
      </w:pPr>
      <w:rPr>
        <w:rFonts w:ascii="Courier New" w:hAnsi="Courier New" w:hint="default"/>
      </w:rPr>
    </w:lvl>
    <w:lvl w:ilvl="5" w:tplc="5658BE00">
      <w:start w:val="1"/>
      <w:numFmt w:val="bullet"/>
      <w:lvlText w:val=""/>
      <w:lvlJc w:val="left"/>
      <w:pPr>
        <w:ind w:left="4320" w:hanging="360"/>
      </w:pPr>
      <w:rPr>
        <w:rFonts w:ascii="Wingdings" w:hAnsi="Wingdings" w:hint="default"/>
      </w:rPr>
    </w:lvl>
    <w:lvl w:ilvl="6" w:tplc="8E667980">
      <w:start w:val="1"/>
      <w:numFmt w:val="bullet"/>
      <w:lvlText w:val=""/>
      <w:lvlJc w:val="left"/>
      <w:pPr>
        <w:ind w:left="5040" w:hanging="360"/>
      </w:pPr>
      <w:rPr>
        <w:rFonts w:ascii="Symbol" w:hAnsi="Symbol" w:hint="default"/>
      </w:rPr>
    </w:lvl>
    <w:lvl w:ilvl="7" w:tplc="A4141FF2">
      <w:start w:val="1"/>
      <w:numFmt w:val="bullet"/>
      <w:lvlText w:val="o"/>
      <w:lvlJc w:val="left"/>
      <w:pPr>
        <w:ind w:left="5760" w:hanging="360"/>
      </w:pPr>
      <w:rPr>
        <w:rFonts w:ascii="Courier New" w:hAnsi="Courier New" w:hint="default"/>
      </w:rPr>
    </w:lvl>
    <w:lvl w:ilvl="8" w:tplc="F6B06412">
      <w:start w:val="1"/>
      <w:numFmt w:val="bullet"/>
      <w:lvlText w:val=""/>
      <w:lvlJc w:val="left"/>
      <w:pPr>
        <w:ind w:left="6480" w:hanging="360"/>
      </w:pPr>
      <w:rPr>
        <w:rFonts w:ascii="Wingdings" w:hAnsi="Wingdings" w:hint="default"/>
      </w:rPr>
    </w:lvl>
  </w:abstractNum>
  <w:abstractNum w:abstractNumId="21" w15:restartNumberingAfterBreak="0">
    <w:nsid w:val="527C7B4D"/>
    <w:multiLevelType w:val="hybridMultilevel"/>
    <w:tmpl w:val="FFFFFFFF"/>
    <w:lvl w:ilvl="0" w:tplc="F222C84A">
      <w:start w:val="1"/>
      <w:numFmt w:val="bullet"/>
      <w:lvlText w:val=""/>
      <w:lvlJc w:val="left"/>
      <w:pPr>
        <w:ind w:left="720" w:hanging="360"/>
      </w:pPr>
      <w:rPr>
        <w:rFonts w:ascii="Symbol" w:hAnsi="Symbol" w:hint="default"/>
      </w:rPr>
    </w:lvl>
    <w:lvl w:ilvl="1" w:tplc="7516542C">
      <w:start w:val="1"/>
      <w:numFmt w:val="bullet"/>
      <w:lvlText w:val="o"/>
      <w:lvlJc w:val="left"/>
      <w:pPr>
        <w:ind w:left="1440" w:hanging="360"/>
      </w:pPr>
      <w:rPr>
        <w:rFonts w:ascii="Courier New" w:hAnsi="Courier New" w:hint="default"/>
      </w:rPr>
    </w:lvl>
    <w:lvl w:ilvl="2" w:tplc="A9D27DA0">
      <w:start w:val="1"/>
      <w:numFmt w:val="bullet"/>
      <w:lvlText w:val=""/>
      <w:lvlJc w:val="left"/>
      <w:pPr>
        <w:ind w:left="2160" w:hanging="360"/>
      </w:pPr>
      <w:rPr>
        <w:rFonts w:ascii="Wingdings" w:hAnsi="Wingdings" w:hint="default"/>
      </w:rPr>
    </w:lvl>
    <w:lvl w:ilvl="3" w:tplc="C3147C86">
      <w:start w:val="1"/>
      <w:numFmt w:val="bullet"/>
      <w:lvlText w:val=""/>
      <w:lvlJc w:val="left"/>
      <w:pPr>
        <w:ind w:left="2880" w:hanging="360"/>
      </w:pPr>
      <w:rPr>
        <w:rFonts w:ascii="Symbol" w:hAnsi="Symbol" w:hint="default"/>
      </w:rPr>
    </w:lvl>
    <w:lvl w:ilvl="4" w:tplc="9E582B22">
      <w:start w:val="1"/>
      <w:numFmt w:val="bullet"/>
      <w:lvlText w:val="o"/>
      <w:lvlJc w:val="left"/>
      <w:pPr>
        <w:ind w:left="3600" w:hanging="360"/>
      </w:pPr>
      <w:rPr>
        <w:rFonts w:ascii="Courier New" w:hAnsi="Courier New" w:hint="default"/>
      </w:rPr>
    </w:lvl>
    <w:lvl w:ilvl="5" w:tplc="426485E2">
      <w:start w:val="1"/>
      <w:numFmt w:val="bullet"/>
      <w:lvlText w:val=""/>
      <w:lvlJc w:val="left"/>
      <w:pPr>
        <w:ind w:left="4320" w:hanging="360"/>
      </w:pPr>
      <w:rPr>
        <w:rFonts w:ascii="Wingdings" w:hAnsi="Wingdings" w:hint="default"/>
      </w:rPr>
    </w:lvl>
    <w:lvl w:ilvl="6" w:tplc="B802B916">
      <w:start w:val="1"/>
      <w:numFmt w:val="bullet"/>
      <w:lvlText w:val=""/>
      <w:lvlJc w:val="left"/>
      <w:pPr>
        <w:ind w:left="5040" w:hanging="360"/>
      </w:pPr>
      <w:rPr>
        <w:rFonts w:ascii="Symbol" w:hAnsi="Symbol" w:hint="default"/>
      </w:rPr>
    </w:lvl>
    <w:lvl w:ilvl="7" w:tplc="FD846EDA">
      <w:start w:val="1"/>
      <w:numFmt w:val="bullet"/>
      <w:lvlText w:val="o"/>
      <w:lvlJc w:val="left"/>
      <w:pPr>
        <w:ind w:left="5760" w:hanging="360"/>
      </w:pPr>
      <w:rPr>
        <w:rFonts w:ascii="Courier New" w:hAnsi="Courier New" w:hint="default"/>
      </w:rPr>
    </w:lvl>
    <w:lvl w:ilvl="8" w:tplc="F8C2BF52">
      <w:start w:val="1"/>
      <w:numFmt w:val="bullet"/>
      <w:lvlText w:val=""/>
      <w:lvlJc w:val="left"/>
      <w:pPr>
        <w:ind w:left="6480" w:hanging="360"/>
      </w:pPr>
      <w:rPr>
        <w:rFonts w:ascii="Wingdings" w:hAnsi="Wingdings" w:hint="default"/>
      </w:rPr>
    </w:lvl>
  </w:abstractNum>
  <w:abstractNum w:abstractNumId="22" w15:restartNumberingAfterBreak="0">
    <w:nsid w:val="52B4A544"/>
    <w:multiLevelType w:val="hybridMultilevel"/>
    <w:tmpl w:val="FFFFFFFF"/>
    <w:lvl w:ilvl="0" w:tplc="5A5CF988">
      <w:start w:val="1"/>
      <w:numFmt w:val="bullet"/>
      <w:lvlText w:val=""/>
      <w:lvlJc w:val="left"/>
      <w:pPr>
        <w:ind w:left="720" w:hanging="360"/>
      </w:pPr>
      <w:rPr>
        <w:rFonts w:ascii="Symbol" w:hAnsi="Symbol" w:hint="default"/>
      </w:rPr>
    </w:lvl>
    <w:lvl w:ilvl="1" w:tplc="652A91D6">
      <w:start w:val="1"/>
      <w:numFmt w:val="bullet"/>
      <w:lvlText w:val="o"/>
      <w:lvlJc w:val="left"/>
      <w:pPr>
        <w:ind w:left="1440" w:hanging="360"/>
      </w:pPr>
      <w:rPr>
        <w:rFonts w:ascii="Courier New" w:hAnsi="Courier New" w:hint="default"/>
      </w:rPr>
    </w:lvl>
    <w:lvl w:ilvl="2" w:tplc="4ACCFA06">
      <w:start w:val="1"/>
      <w:numFmt w:val="bullet"/>
      <w:lvlText w:val=""/>
      <w:lvlJc w:val="left"/>
      <w:pPr>
        <w:ind w:left="2160" w:hanging="360"/>
      </w:pPr>
      <w:rPr>
        <w:rFonts w:ascii="Wingdings" w:hAnsi="Wingdings" w:hint="default"/>
      </w:rPr>
    </w:lvl>
    <w:lvl w:ilvl="3" w:tplc="77BE4A34">
      <w:start w:val="1"/>
      <w:numFmt w:val="bullet"/>
      <w:lvlText w:val=""/>
      <w:lvlJc w:val="left"/>
      <w:pPr>
        <w:ind w:left="2880" w:hanging="360"/>
      </w:pPr>
      <w:rPr>
        <w:rFonts w:ascii="Symbol" w:hAnsi="Symbol" w:hint="default"/>
      </w:rPr>
    </w:lvl>
    <w:lvl w:ilvl="4" w:tplc="17E4C616">
      <w:start w:val="1"/>
      <w:numFmt w:val="bullet"/>
      <w:lvlText w:val="o"/>
      <w:lvlJc w:val="left"/>
      <w:pPr>
        <w:ind w:left="3600" w:hanging="360"/>
      </w:pPr>
      <w:rPr>
        <w:rFonts w:ascii="Courier New" w:hAnsi="Courier New" w:hint="default"/>
      </w:rPr>
    </w:lvl>
    <w:lvl w:ilvl="5" w:tplc="D3700C22">
      <w:start w:val="1"/>
      <w:numFmt w:val="bullet"/>
      <w:lvlText w:val=""/>
      <w:lvlJc w:val="left"/>
      <w:pPr>
        <w:ind w:left="4320" w:hanging="360"/>
      </w:pPr>
      <w:rPr>
        <w:rFonts w:ascii="Wingdings" w:hAnsi="Wingdings" w:hint="default"/>
      </w:rPr>
    </w:lvl>
    <w:lvl w:ilvl="6" w:tplc="F1BAED24">
      <w:start w:val="1"/>
      <w:numFmt w:val="bullet"/>
      <w:lvlText w:val=""/>
      <w:lvlJc w:val="left"/>
      <w:pPr>
        <w:ind w:left="5040" w:hanging="360"/>
      </w:pPr>
      <w:rPr>
        <w:rFonts w:ascii="Symbol" w:hAnsi="Symbol" w:hint="default"/>
      </w:rPr>
    </w:lvl>
    <w:lvl w:ilvl="7" w:tplc="3ED4ABD4">
      <w:start w:val="1"/>
      <w:numFmt w:val="bullet"/>
      <w:lvlText w:val="o"/>
      <w:lvlJc w:val="left"/>
      <w:pPr>
        <w:ind w:left="5760" w:hanging="360"/>
      </w:pPr>
      <w:rPr>
        <w:rFonts w:ascii="Courier New" w:hAnsi="Courier New" w:hint="default"/>
      </w:rPr>
    </w:lvl>
    <w:lvl w:ilvl="8" w:tplc="735E5396">
      <w:start w:val="1"/>
      <w:numFmt w:val="bullet"/>
      <w:lvlText w:val=""/>
      <w:lvlJc w:val="left"/>
      <w:pPr>
        <w:ind w:left="6480" w:hanging="360"/>
      </w:pPr>
      <w:rPr>
        <w:rFonts w:ascii="Wingdings" w:hAnsi="Wingdings" w:hint="default"/>
      </w:rPr>
    </w:lvl>
  </w:abstractNum>
  <w:abstractNum w:abstractNumId="23" w15:restartNumberingAfterBreak="0">
    <w:nsid w:val="5C4F7EEB"/>
    <w:multiLevelType w:val="hybridMultilevel"/>
    <w:tmpl w:val="80687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C27B10"/>
    <w:multiLevelType w:val="hybridMultilevel"/>
    <w:tmpl w:val="FFFFFFFF"/>
    <w:lvl w:ilvl="0" w:tplc="B438718C">
      <w:start w:val="1"/>
      <w:numFmt w:val="bullet"/>
      <w:lvlText w:val=""/>
      <w:lvlJc w:val="left"/>
      <w:pPr>
        <w:ind w:left="720" w:hanging="360"/>
      </w:pPr>
      <w:rPr>
        <w:rFonts w:ascii="Symbol" w:hAnsi="Symbol" w:hint="default"/>
      </w:rPr>
    </w:lvl>
    <w:lvl w:ilvl="1" w:tplc="9554353A">
      <w:start w:val="1"/>
      <w:numFmt w:val="bullet"/>
      <w:lvlText w:val="o"/>
      <w:lvlJc w:val="left"/>
      <w:pPr>
        <w:ind w:left="1440" w:hanging="360"/>
      </w:pPr>
      <w:rPr>
        <w:rFonts w:ascii="Courier New" w:hAnsi="Courier New" w:hint="default"/>
      </w:rPr>
    </w:lvl>
    <w:lvl w:ilvl="2" w:tplc="5D96CB26">
      <w:start w:val="1"/>
      <w:numFmt w:val="bullet"/>
      <w:lvlText w:val=""/>
      <w:lvlJc w:val="left"/>
      <w:pPr>
        <w:ind w:left="2160" w:hanging="360"/>
      </w:pPr>
      <w:rPr>
        <w:rFonts w:ascii="Wingdings" w:hAnsi="Wingdings" w:hint="default"/>
      </w:rPr>
    </w:lvl>
    <w:lvl w:ilvl="3" w:tplc="122C7784">
      <w:start w:val="1"/>
      <w:numFmt w:val="bullet"/>
      <w:lvlText w:val=""/>
      <w:lvlJc w:val="left"/>
      <w:pPr>
        <w:ind w:left="2880" w:hanging="360"/>
      </w:pPr>
      <w:rPr>
        <w:rFonts w:ascii="Symbol" w:hAnsi="Symbol" w:hint="default"/>
      </w:rPr>
    </w:lvl>
    <w:lvl w:ilvl="4" w:tplc="8502150A">
      <w:start w:val="1"/>
      <w:numFmt w:val="bullet"/>
      <w:lvlText w:val="o"/>
      <w:lvlJc w:val="left"/>
      <w:pPr>
        <w:ind w:left="3600" w:hanging="360"/>
      </w:pPr>
      <w:rPr>
        <w:rFonts w:ascii="Courier New" w:hAnsi="Courier New" w:hint="default"/>
      </w:rPr>
    </w:lvl>
    <w:lvl w:ilvl="5" w:tplc="91C23132">
      <w:start w:val="1"/>
      <w:numFmt w:val="bullet"/>
      <w:lvlText w:val=""/>
      <w:lvlJc w:val="left"/>
      <w:pPr>
        <w:ind w:left="4320" w:hanging="360"/>
      </w:pPr>
      <w:rPr>
        <w:rFonts w:ascii="Wingdings" w:hAnsi="Wingdings" w:hint="default"/>
      </w:rPr>
    </w:lvl>
    <w:lvl w:ilvl="6" w:tplc="C48CBD7C">
      <w:start w:val="1"/>
      <w:numFmt w:val="bullet"/>
      <w:lvlText w:val=""/>
      <w:lvlJc w:val="left"/>
      <w:pPr>
        <w:ind w:left="5040" w:hanging="360"/>
      </w:pPr>
      <w:rPr>
        <w:rFonts w:ascii="Symbol" w:hAnsi="Symbol" w:hint="default"/>
      </w:rPr>
    </w:lvl>
    <w:lvl w:ilvl="7" w:tplc="EEDE61D8">
      <w:start w:val="1"/>
      <w:numFmt w:val="bullet"/>
      <w:lvlText w:val="o"/>
      <w:lvlJc w:val="left"/>
      <w:pPr>
        <w:ind w:left="5760" w:hanging="360"/>
      </w:pPr>
      <w:rPr>
        <w:rFonts w:ascii="Courier New" w:hAnsi="Courier New" w:hint="default"/>
      </w:rPr>
    </w:lvl>
    <w:lvl w:ilvl="8" w:tplc="289673E0">
      <w:start w:val="1"/>
      <w:numFmt w:val="bullet"/>
      <w:lvlText w:val=""/>
      <w:lvlJc w:val="left"/>
      <w:pPr>
        <w:ind w:left="6480" w:hanging="360"/>
      </w:pPr>
      <w:rPr>
        <w:rFonts w:ascii="Wingdings" w:hAnsi="Wingdings" w:hint="default"/>
      </w:rPr>
    </w:lvl>
  </w:abstractNum>
  <w:abstractNum w:abstractNumId="25" w15:restartNumberingAfterBreak="0">
    <w:nsid w:val="639C3744"/>
    <w:multiLevelType w:val="hybridMultilevel"/>
    <w:tmpl w:val="FFFFFFFF"/>
    <w:lvl w:ilvl="0" w:tplc="7DD4C524">
      <w:start w:val="1"/>
      <w:numFmt w:val="bullet"/>
      <w:lvlText w:val=""/>
      <w:lvlJc w:val="left"/>
      <w:pPr>
        <w:ind w:left="720" w:hanging="360"/>
      </w:pPr>
      <w:rPr>
        <w:rFonts w:ascii="Symbol" w:hAnsi="Symbol" w:hint="default"/>
      </w:rPr>
    </w:lvl>
    <w:lvl w:ilvl="1" w:tplc="76E83236">
      <w:start w:val="1"/>
      <w:numFmt w:val="bullet"/>
      <w:lvlText w:val="o"/>
      <w:lvlJc w:val="left"/>
      <w:pPr>
        <w:ind w:left="1440" w:hanging="360"/>
      </w:pPr>
      <w:rPr>
        <w:rFonts w:ascii="Courier New" w:hAnsi="Courier New" w:hint="default"/>
      </w:rPr>
    </w:lvl>
    <w:lvl w:ilvl="2" w:tplc="C05AEE48">
      <w:start w:val="1"/>
      <w:numFmt w:val="bullet"/>
      <w:lvlText w:val=""/>
      <w:lvlJc w:val="left"/>
      <w:pPr>
        <w:ind w:left="2160" w:hanging="360"/>
      </w:pPr>
      <w:rPr>
        <w:rFonts w:ascii="Wingdings" w:hAnsi="Wingdings" w:hint="default"/>
      </w:rPr>
    </w:lvl>
    <w:lvl w:ilvl="3" w:tplc="E9D2DDF2">
      <w:start w:val="1"/>
      <w:numFmt w:val="bullet"/>
      <w:lvlText w:val=""/>
      <w:lvlJc w:val="left"/>
      <w:pPr>
        <w:ind w:left="2880" w:hanging="360"/>
      </w:pPr>
      <w:rPr>
        <w:rFonts w:ascii="Symbol" w:hAnsi="Symbol" w:hint="default"/>
      </w:rPr>
    </w:lvl>
    <w:lvl w:ilvl="4" w:tplc="3BBAC776">
      <w:start w:val="1"/>
      <w:numFmt w:val="bullet"/>
      <w:lvlText w:val="o"/>
      <w:lvlJc w:val="left"/>
      <w:pPr>
        <w:ind w:left="3600" w:hanging="360"/>
      </w:pPr>
      <w:rPr>
        <w:rFonts w:ascii="Courier New" w:hAnsi="Courier New" w:hint="default"/>
      </w:rPr>
    </w:lvl>
    <w:lvl w:ilvl="5" w:tplc="B6C09084">
      <w:start w:val="1"/>
      <w:numFmt w:val="bullet"/>
      <w:lvlText w:val=""/>
      <w:lvlJc w:val="left"/>
      <w:pPr>
        <w:ind w:left="4320" w:hanging="360"/>
      </w:pPr>
      <w:rPr>
        <w:rFonts w:ascii="Wingdings" w:hAnsi="Wingdings" w:hint="default"/>
      </w:rPr>
    </w:lvl>
    <w:lvl w:ilvl="6" w:tplc="A9E444D2">
      <w:start w:val="1"/>
      <w:numFmt w:val="bullet"/>
      <w:lvlText w:val=""/>
      <w:lvlJc w:val="left"/>
      <w:pPr>
        <w:ind w:left="5040" w:hanging="360"/>
      </w:pPr>
      <w:rPr>
        <w:rFonts w:ascii="Symbol" w:hAnsi="Symbol" w:hint="default"/>
      </w:rPr>
    </w:lvl>
    <w:lvl w:ilvl="7" w:tplc="8D3A6F70">
      <w:start w:val="1"/>
      <w:numFmt w:val="bullet"/>
      <w:lvlText w:val="o"/>
      <w:lvlJc w:val="left"/>
      <w:pPr>
        <w:ind w:left="5760" w:hanging="360"/>
      </w:pPr>
      <w:rPr>
        <w:rFonts w:ascii="Courier New" w:hAnsi="Courier New" w:hint="default"/>
      </w:rPr>
    </w:lvl>
    <w:lvl w:ilvl="8" w:tplc="90E063D2">
      <w:start w:val="1"/>
      <w:numFmt w:val="bullet"/>
      <w:lvlText w:val=""/>
      <w:lvlJc w:val="left"/>
      <w:pPr>
        <w:ind w:left="6480" w:hanging="360"/>
      </w:pPr>
      <w:rPr>
        <w:rFonts w:ascii="Wingdings" w:hAnsi="Wingdings" w:hint="default"/>
      </w:rPr>
    </w:lvl>
  </w:abstractNum>
  <w:abstractNum w:abstractNumId="26" w15:restartNumberingAfterBreak="0">
    <w:nsid w:val="6719AA22"/>
    <w:multiLevelType w:val="hybridMultilevel"/>
    <w:tmpl w:val="FFFFFFFF"/>
    <w:lvl w:ilvl="0" w:tplc="44A49D42">
      <w:start w:val="1"/>
      <w:numFmt w:val="bullet"/>
      <w:lvlText w:val=""/>
      <w:lvlJc w:val="left"/>
      <w:pPr>
        <w:ind w:left="720" w:hanging="360"/>
      </w:pPr>
      <w:rPr>
        <w:rFonts w:ascii="Symbol" w:hAnsi="Symbol" w:hint="default"/>
      </w:rPr>
    </w:lvl>
    <w:lvl w:ilvl="1" w:tplc="9A808C8E">
      <w:start w:val="1"/>
      <w:numFmt w:val="bullet"/>
      <w:lvlText w:val="o"/>
      <w:lvlJc w:val="left"/>
      <w:pPr>
        <w:ind w:left="1440" w:hanging="360"/>
      </w:pPr>
      <w:rPr>
        <w:rFonts w:ascii="Courier New" w:hAnsi="Courier New" w:hint="default"/>
      </w:rPr>
    </w:lvl>
    <w:lvl w:ilvl="2" w:tplc="9022D16A">
      <w:start w:val="1"/>
      <w:numFmt w:val="bullet"/>
      <w:lvlText w:val=""/>
      <w:lvlJc w:val="left"/>
      <w:pPr>
        <w:ind w:left="2160" w:hanging="360"/>
      </w:pPr>
      <w:rPr>
        <w:rFonts w:ascii="Wingdings" w:hAnsi="Wingdings" w:hint="default"/>
      </w:rPr>
    </w:lvl>
    <w:lvl w:ilvl="3" w:tplc="82A8E0D2">
      <w:start w:val="1"/>
      <w:numFmt w:val="bullet"/>
      <w:lvlText w:val=""/>
      <w:lvlJc w:val="left"/>
      <w:pPr>
        <w:ind w:left="2880" w:hanging="360"/>
      </w:pPr>
      <w:rPr>
        <w:rFonts w:ascii="Symbol" w:hAnsi="Symbol" w:hint="default"/>
      </w:rPr>
    </w:lvl>
    <w:lvl w:ilvl="4" w:tplc="693A5C6A">
      <w:start w:val="1"/>
      <w:numFmt w:val="bullet"/>
      <w:lvlText w:val="o"/>
      <w:lvlJc w:val="left"/>
      <w:pPr>
        <w:ind w:left="3600" w:hanging="360"/>
      </w:pPr>
      <w:rPr>
        <w:rFonts w:ascii="Courier New" w:hAnsi="Courier New" w:hint="default"/>
      </w:rPr>
    </w:lvl>
    <w:lvl w:ilvl="5" w:tplc="C0E24BCE">
      <w:start w:val="1"/>
      <w:numFmt w:val="bullet"/>
      <w:lvlText w:val=""/>
      <w:lvlJc w:val="left"/>
      <w:pPr>
        <w:ind w:left="4320" w:hanging="360"/>
      </w:pPr>
      <w:rPr>
        <w:rFonts w:ascii="Wingdings" w:hAnsi="Wingdings" w:hint="default"/>
      </w:rPr>
    </w:lvl>
    <w:lvl w:ilvl="6" w:tplc="79CAD04C">
      <w:start w:val="1"/>
      <w:numFmt w:val="bullet"/>
      <w:lvlText w:val=""/>
      <w:lvlJc w:val="left"/>
      <w:pPr>
        <w:ind w:left="5040" w:hanging="360"/>
      </w:pPr>
      <w:rPr>
        <w:rFonts w:ascii="Symbol" w:hAnsi="Symbol" w:hint="default"/>
      </w:rPr>
    </w:lvl>
    <w:lvl w:ilvl="7" w:tplc="93F81CCE">
      <w:start w:val="1"/>
      <w:numFmt w:val="bullet"/>
      <w:lvlText w:val="o"/>
      <w:lvlJc w:val="left"/>
      <w:pPr>
        <w:ind w:left="5760" w:hanging="360"/>
      </w:pPr>
      <w:rPr>
        <w:rFonts w:ascii="Courier New" w:hAnsi="Courier New" w:hint="default"/>
      </w:rPr>
    </w:lvl>
    <w:lvl w:ilvl="8" w:tplc="6B1C6A5E">
      <w:start w:val="1"/>
      <w:numFmt w:val="bullet"/>
      <w:lvlText w:val=""/>
      <w:lvlJc w:val="left"/>
      <w:pPr>
        <w:ind w:left="6480" w:hanging="360"/>
      </w:pPr>
      <w:rPr>
        <w:rFonts w:ascii="Wingdings" w:hAnsi="Wingdings" w:hint="default"/>
      </w:rPr>
    </w:lvl>
  </w:abstractNum>
  <w:abstractNum w:abstractNumId="27" w15:restartNumberingAfterBreak="0">
    <w:nsid w:val="71C4EC8B"/>
    <w:multiLevelType w:val="hybridMultilevel"/>
    <w:tmpl w:val="FFFFFFFF"/>
    <w:lvl w:ilvl="0" w:tplc="80325E82">
      <w:start w:val="1"/>
      <w:numFmt w:val="bullet"/>
      <w:lvlText w:val=""/>
      <w:lvlJc w:val="left"/>
      <w:pPr>
        <w:ind w:left="720" w:hanging="360"/>
      </w:pPr>
      <w:rPr>
        <w:rFonts w:ascii="Symbol" w:hAnsi="Symbol" w:hint="default"/>
      </w:rPr>
    </w:lvl>
    <w:lvl w:ilvl="1" w:tplc="306057D6">
      <w:start w:val="1"/>
      <w:numFmt w:val="bullet"/>
      <w:lvlText w:val="o"/>
      <w:lvlJc w:val="left"/>
      <w:pPr>
        <w:ind w:left="1440" w:hanging="360"/>
      </w:pPr>
      <w:rPr>
        <w:rFonts w:ascii="Courier New" w:hAnsi="Courier New" w:hint="default"/>
      </w:rPr>
    </w:lvl>
    <w:lvl w:ilvl="2" w:tplc="2B48BED4">
      <w:start w:val="1"/>
      <w:numFmt w:val="bullet"/>
      <w:lvlText w:val=""/>
      <w:lvlJc w:val="left"/>
      <w:pPr>
        <w:ind w:left="2160" w:hanging="360"/>
      </w:pPr>
      <w:rPr>
        <w:rFonts w:ascii="Wingdings" w:hAnsi="Wingdings" w:hint="default"/>
      </w:rPr>
    </w:lvl>
    <w:lvl w:ilvl="3" w:tplc="5F04A91E">
      <w:start w:val="1"/>
      <w:numFmt w:val="bullet"/>
      <w:lvlText w:val=""/>
      <w:lvlJc w:val="left"/>
      <w:pPr>
        <w:ind w:left="2880" w:hanging="360"/>
      </w:pPr>
      <w:rPr>
        <w:rFonts w:ascii="Symbol" w:hAnsi="Symbol" w:hint="default"/>
      </w:rPr>
    </w:lvl>
    <w:lvl w:ilvl="4" w:tplc="87880214">
      <w:start w:val="1"/>
      <w:numFmt w:val="bullet"/>
      <w:lvlText w:val="o"/>
      <w:lvlJc w:val="left"/>
      <w:pPr>
        <w:ind w:left="3600" w:hanging="360"/>
      </w:pPr>
      <w:rPr>
        <w:rFonts w:ascii="Courier New" w:hAnsi="Courier New" w:hint="default"/>
      </w:rPr>
    </w:lvl>
    <w:lvl w:ilvl="5" w:tplc="0334602C">
      <w:start w:val="1"/>
      <w:numFmt w:val="bullet"/>
      <w:lvlText w:val=""/>
      <w:lvlJc w:val="left"/>
      <w:pPr>
        <w:ind w:left="4320" w:hanging="360"/>
      </w:pPr>
      <w:rPr>
        <w:rFonts w:ascii="Wingdings" w:hAnsi="Wingdings" w:hint="default"/>
      </w:rPr>
    </w:lvl>
    <w:lvl w:ilvl="6" w:tplc="E2C8C58A">
      <w:start w:val="1"/>
      <w:numFmt w:val="bullet"/>
      <w:lvlText w:val=""/>
      <w:lvlJc w:val="left"/>
      <w:pPr>
        <w:ind w:left="5040" w:hanging="360"/>
      </w:pPr>
      <w:rPr>
        <w:rFonts w:ascii="Symbol" w:hAnsi="Symbol" w:hint="default"/>
      </w:rPr>
    </w:lvl>
    <w:lvl w:ilvl="7" w:tplc="BD586B9E">
      <w:start w:val="1"/>
      <w:numFmt w:val="bullet"/>
      <w:lvlText w:val="o"/>
      <w:lvlJc w:val="left"/>
      <w:pPr>
        <w:ind w:left="5760" w:hanging="360"/>
      </w:pPr>
      <w:rPr>
        <w:rFonts w:ascii="Courier New" w:hAnsi="Courier New" w:hint="default"/>
      </w:rPr>
    </w:lvl>
    <w:lvl w:ilvl="8" w:tplc="16703330">
      <w:start w:val="1"/>
      <w:numFmt w:val="bullet"/>
      <w:lvlText w:val=""/>
      <w:lvlJc w:val="left"/>
      <w:pPr>
        <w:ind w:left="6480" w:hanging="360"/>
      </w:pPr>
      <w:rPr>
        <w:rFonts w:ascii="Wingdings" w:hAnsi="Wingdings" w:hint="default"/>
      </w:rPr>
    </w:lvl>
  </w:abstractNum>
  <w:abstractNum w:abstractNumId="28" w15:restartNumberingAfterBreak="0">
    <w:nsid w:val="735CD823"/>
    <w:multiLevelType w:val="hybridMultilevel"/>
    <w:tmpl w:val="43546F7E"/>
    <w:lvl w:ilvl="0" w:tplc="C918509E">
      <w:start w:val="1"/>
      <w:numFmt w:val="bullet"/>
      <w:lvlText w:val=""/>
      <w:lvlJc w:val="left"/>
      <w:pPr>
        <w:ind w:left="720" w:hanging="360"/>
      </w:pPr>
      <w:rPr>
        <w:rFonts w:ascii="Symbol" w:hAnsi="Symbol" w:hint="default"/>
      </w:rPr>
    </w:lvl>
    <w:lvl w:ilvl="1" w:tplc="3A9CDF8A">
      <w:start w:val="1"/>
      <w:numFmt w:val="bullet"/>
      <w:lvlText w:val="o"/>
      <w:lvlJc w:val="left"/>
      <w:pPr>
        <w:ind w:left="1440" w:hanging="360"/>
      </w:pPr>
      <w:rPr>
        <w:rFonts w:ascii="Courier New" w:hAnsi="Courier New" w:hint="default"/>
      </w:rPr>
    </w:lvl>
    <w:lvl w:ilvl="2" w:tplc="6D362998">
      <w:start w:val="1"/>
      <w:numFmt w:val="bullet"/>
      <w:lvlText w:val=""/>
      <w:lvlJc w:val="left"/>
      <w:pPr>
        <w:ind w:left="2160" w:hanging="360"/>
      </w:pPr>
      <w:rPr>
        <w:rFonts w:ascii="Wingdings" w:hAnsi="Wingdings" w:hint="default"/>
      </w:rPr>
    </w:lvl>
    <w:lvl w:ilvl="3" w:tplc="39CCD384">
      <w:start w:val="1"/>
      <w:numFmt w:val="bullet"/>
      <w:lvlText w:val=""/>
      <w:lvlJc w:val="left"/>
      <w:pPr>
        <w:ind w:left="2880" w:hanging="360"/>
      </w:pPr>
      <w:rPr>
        <w:rFonts w:ascii="Symbol" w:hAnsi="Symbol" w:hint="default"/>
      </w:rPr>
    </w:lvl>
    <w:lvl w:ilvl="4" w:tplc="0AD636C8">
      <w:start w:val="1"/>
      <w:numFmt w:val="bullet"/>
      <w:lvlText w:val="o"/>
      <w:lvlJc w:val="left"/>
      <w:pPr>
        <w:ind w:left="3600" w:hanging="360"/>
      </w:pPr>
      <w:rPr>
        <w:rFonts w:ascii="Courier New" w:hAnsi="Courier New" w:hint="default"/>
      </w:rPr>
    </w:lvl>
    <w:lvl w:ilvl="5" w:tplc="18B671C4">
      <w:start w:val="1"/>
      <w:numFmt w:val="bullet"/>
      <w:lvlText w:val=""/>
      <w:lvlJc w:val="left"/>
      <w:pPr>
        <w:ind w:left="4320" w:hanging="360"/>
      </w:pPr>
      <w:rPr>
        <w:rFonts w:ascii="Wingdings" w:hAnsi="Wingdings" w:hint="default"/>
      </w:rPr>
    </w:lvl>
    <w:lvl w:ilvl="6" w:tplc="006C8088">
      <w:start w:val="1"/>
      <w:numFmt w:val="bullet"/>
      <w:lvlText w:val=""/>
      <w:lvlJc w:val="left"/>
      <w:pPr>
        <w:ind w:left="5040" w:hanging="360"/>
      </w:pPr>
      <w:rPr>
        <w:rFonts w:ascii="Symbol" w:hAnsi="Symbol" w:hint="default"/>
      </w:rPr>
    </w:lvl>
    <w:lvl w:ilvl="7" w:tplc="55AE78E8">
      <w:start w:val="1"/>
      <w:numFmt w:val="bullet"/>
      <w:lvlText w:val="o"/>
      <w:lvlJc w:val="left"/>
      <w:pPr>
        <w:ind w:left="5760" w:hanging="360"/>
      </w:pPr>
      <w:rPr>
        <w:rFonts w:ascii="Courier New" w:hAnsi="Courier New" w:hint="default"/>
      </w:rPr>
    </w:lvl>
    <w:lvl w:ilvl="8" w:tplc="E356DF44">
      <w:start w:val="1"/>
      <w:numFmt w:val="bullet"/>
      <w:lvlText w:val=""/>
      <w:lvlJc w:val="left"/>
      <w:pPr>
        <w:ind w:left="6480" w:hanging="360"/>
      </w:pPr>
      <w:rPr>
        <w:rFonts w:ascii="Wingdings" w:hAnsi="Wingdings" w:hint="default"/>
      </w:rPr>
    </w:lvl>
  </w:abstractNum>
  <w:abstractNum w:abstractNumId="29" w15:restartNumberingAfterBreak="0">
    <w:nsid w:val="74A14102"/>
    <w:multiLevelType w:val="hybridMultilevel"/>
    <w:tmpl w:val="6D525E7E"/>
    <w:lvl w:ilvl="0" w:tplc="8AB25A7C">
      <w:start w:val="1"/>
      <w:numFmt w:val="bullet"/>
      <w:lvlText w:val=""/>
      <w:lvlJc w:val="left"/>
      <w:pPr>
        <w:ind w:left="720" w:hanging="360"/>
      </w:pPr>
      <w:rPr>
        <w:rFonts w:ascii="Symbol" w:hAnsi="Symbol" w:hint="default"/>
      </w:rPr>
    </w:lvl>
    <w:lvl w:ilvl="1" w:tplc="DAEE9964">
      <w:start w:val="1"/>
      <w:numFmt w:val="bullet"/>
      <w:lvlText w:val="o"/>
      <w:lvlJc w:val="left"/>
      <w:pPr>
        <w:ind w:left="1440" w:hanging="360"/>
      </w:pPr>
      <w:rPr>
        <w:rFonts w:ascii="Courier New" w:hAnsi="Courier New" w:hint="default"/>
      </w:rPr>
    </w:lvl>
    <w:lvl w:ilvl="2" w:tplc="FF948CF8">
      <w:start w:val="1"/>
      <w:numFmt w:val="bullet"/>
      <w:lvlText w:val=""/>
      <w:lvlJc w:val="left"/>
      <w:pPr>
        <w:ind w:left="2160" w:hanging="360"/>
      </w:pPr>
      <w:rPr>
        <w:rFonts w:ascii="Wingdings" w:hAnsi="Wingdings" w:hint="default"/>
      </w:rPr>
    </w:lvl>
    <w:lvl w:ilvl="3" w:tplc="A5202600">
      <w:start w:val="1"/>
      <w:numFmt w:val="bullet"/>
      <w:lvlText w:val=""/>
      <w:lvlJc w:val="left"/>
      <w:pPr>
        <w:ind w:left="2880" w:hanging="360"/>
      </w:pPr>
      <w:rPr>
        <w:rFonts w:ascii="Symbol" w:hAnsi="Symbol" w:hint="default"/>
      </w:rPr>
    </w:lvl>
    <w:lvl w:ilvl="4" w:tplc="33629086">
      <w:start w:val="1"/>
      <w:numFmt w:val="bullet"/>
      <w:lvlText w:val="o"/>
      <w:lvlJc w:val="left"/>
      <w:pPr>
        <w:ind w:left="3600" w:hanging="360"/>
      </w:pPr>
      <w:rPr>
        <w:rFonts w:ascii="Courier New" w:hAnsi="Courier New" w:hint="default"/>
      </w:rPr>
    </w:lvl>
    <w:lvl w:ilvl="5" w:tplc="DAB6F046">
      <w:start w:val="1"/>
      <w:numFmt w:val="bullet"/>
      <w:lvlText w:val=""/>
      <w:lvlJc w:val="left"/>
      <w:pPr>
        <w:ind w:left="4320" w:hanging="360"/>
      </w:pPr>
      <w:rPr>
        <w:rFonts w:ascii="Wingdings" w:hAnsi="Wingdings" w:hint="default"/>
      </w:rPr>
    </w:lvl>
    <w:lvl w:ilvl="6" w:tplc="6E2ADD56">
      <w:start w:val="1"/>
      <w:numFmt w:val="bullet"/>
      <w:lvlText w:val=""/>
      <w:lvlJc w:val="left"/>
      <w:pPr>
        <w:ind w:left="5040" w:hanging="360"/>
      </w:pPr>
      <w:rPr>
        <w:rFonts w:ascii="Symbol" w:hAnsi="Symbol" w:hint="default"/>
      </w:rPr>
    </w:lvl>
    <w:lvl w:ilvl="7" w:tplc="D7E27FE4">
      <w:start w:val="1"/>
      <w:numFmt w:val="bullet"/>
      <w:lvlText w:val="o"/>
      <w:lvlJc w:val="left"/>
      <w:pPr>
        <w:ind w:left="5760" w:hanging="360"/>
      </w:pPr>
      <w:rPr>
        <w:rFonts w:ascii="Courier New" w:hAnsi="Courier New" w:hint="default"/>
      </w:rPr>
    </w:lvl>
    <w:lvl w:ilvl="8" w:tplc="E97A833E">
      <w:start w:val="1"/>
      <w:numFmt w:val="bullet"/>
      <w:lvlText w:val=""/>
      <w:lvlJc w:val="left"/>
      <w:pPr>
        <w:ind w:left="6480" w:hanging="360"/>
      </w:pPr>
      <w:rPr>
        <w:rFonts w:ascii="Wingdings" w:hAnsi="Wingdings" w:hint="default"/>
      </w:rPr>
    </w:lvl>
  </w:abstractNum>
  <w:abstractNum w:abstractNumId="30" w15:restartNumberingAfterBreak="0">
    <w:nsid w:val="7F3CB1CA"/>
    <w:multiLevelType w:val="hybridMultilevel"/>
    <w:tmpl w:val="FFFFFFFF"/>
    <w:lvl w:ilvl="0" w:tplc="701C3AAA">
      <w:start w:val="1"/>
      <w:numFmt w:val="bullet"/>
      <w:lvlText w:val=""/>
      <w:lvlJc w:val="left"/>
      <w:pPr>
        <w:ind w:left="720" w:hanging="360"/>
      </w:pPr>
      <w:rPr>
        <w:rFonts w:ascii="Symbol" w:hAnsi="Symbol" w:hint="default"/>
      </w:rPr>
    </w:lvl>
    <w:lvl w:ilvl="1" w:tplc="F86001EA">
      <w:start w:val="1"/>
      <w:numFmt w:val="bullet"/>
      <w:lvlText w:val="o"/>
      <w:lvlJc w:val="left"/>
      <w:pPr>
        <w:ind w:left="1440" w:hanging="360"/>
      </w:pPr>
      <w:rPr>
        <w:rFonts w:ascii="Courier New" w:hAnsi="Courier New" w:hint="default"/>
      </w:rPr>
    </w:lvl>
    <w:lvl w:ilvl="2" w:tplc="EAD2FA1A">
      <w:start w:val="1"/>
      <w:numFmt w:val="bullet"/>
      <w:lvlText w:val=""/>
      <w:lvlJc w:val="left"/>
      <w:pPr>
        <w:ind w:left="2160" w:hanging="360"/>
      </w:pPr>
      <w:rPr>
        <w:rFonts w:ascii="Wingdings" w:hAnsi="Wingdings" w:hint="default"/>
      </w:rPr>
    </w:lvl>
    <w:lvl w:ilvl="3" w:tplc="719287A6">
      <w:start w:val="1"/>
      <w:numFmt w:val="bullet"/>
      <w:lvlText w:val=""/>
      <w:lvlJc w:val="left"/>
      <w:pPr>
        <w:ind w:left="2880" w:hanging="360"/>
      </w:pPr>
      <w:rPr>
        <w:rFonts w:ascii="Symbol" w:hAnsi="Symbol" w:hint="default"/>
      </w:rPr>
    </w:lvl>
    <w:lvl w:ilvl="4" w:tplc="7068A8A2">
      <w:start w:val="1"/>
      <w:numFmt w:val="bullet"/>
      <w:lvlText w:val="o"/>
      <w:lvlJc w:val="left"/>
      <w:pPr>
        <w:ind w:left="3600" w:hanging="360"/>
      </w:pPr>
      <w:rPr>
        <w:rFonts w:ascii="Courier New" w:hAnsi="Courier New" w:hint="default"/>
      </w:rPr>
    </w:lvl>
    <w:lvl w:ilvl="5" w:tplc="BBEA9F9C">
      <w:start w:val="1"/>
      <w:numFmt w:val="bullet"/>
      <w:lvlText w:val=""/>
      <w:lvlJc w:val="left"/>
      <w:pPr>
        <w:ind w:left="4320" w:hanging="360"/>
      </w:pPr>
      <w:rPr>
        <w:rFonts w:ascii="Wingdings" w:hAnsi="Wingdings" w:hint="default"/>
      </w:rPr>
    </w:lvl>
    <w:lvl w:ilvl="6" w:tplc="A586A0E4">
      <w:start w:val="1"/>
      <w:numFmt w:val="bullet"/>
      <w:lvlText w:val=""/>
      <w:lvlJc w:val="left"/>
      <w:pPr>
        <w:ind w:left="5040" w:hanging="360"/>
      </w:pPr>
      <w:rPr>
        <w:rFonts w:ascii="Symbol" w:hAnsi="Symbol" w:hint="default"/>
      </w:rPr>
    </w:lvl>
    <w:lvl w:ilvl="7" w:tplc="CAC8E6AE">
      <w:start w:val="1"/>
      <w:numFmt w:val="bullet"/>
      <w:lvlText w:val="o"/>
      <w:lvlJc w:val="left"/>
      <w:pPr>
        <w:ind w:left="5760" w:hanging="360"/>
      </w:pPr>
      <w:rPr>
        <w:rFonts w:ascii="Courier New" w:hAnsi="Courier New" w:hint="default"/>
      </w:rPr>
    </w:lvl>
    <w:lvl w:ilvl="8" w:tplc="482E5BEC">
      <w:start w:val="1"/>
      <w:numFmt w:val="bullet"/>
      <w:lvlText w:val=""/>
      <w:lvlJc w:val="left"/>
      <w:pPr>
        <w:ind w:left="6480" w:hanging="360"/>
      </w:pPr>
      <w:rPr>
        <w:rFonts w:ascii="Wingdings" w:hAnsi="Wingdings" w:hint="default"/>
      </w:rPr>
    </w:lvl>
  </w:abstractNum>
  <w:abstractNum w:abstractNumId="31" w15:restartNumberingAfterBreak="0">
    <w:nsid w:val="7FDC6AD6"/>
    <w:multiLevelType w:val="hybridMultilevel"/>
    <w:tmpl w:val="C2A27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5470638">
    <w:abstractNumId w:val="12"/>
  </w:num>
  <w:num w:numId="2" w16cid:durableId="211842455">
    <w:abstractNumId w:val="15"/>
  </w:num>
  <w:num w:numId="3" w16cid:durableId="1816681540">
    <w:abstractNumId w:val="5"/>
  </w:num>
  <w:num w:numId="4" w16cid:durableId="304705423">
    <w:abstractNumId w:val="28"/>
  </w:num>
  <w:num w:numId="5" w16cid:durableId="2028479240">
    <w:abstractNumId w:val="13"/>
  </w:num>
  <w:num w:numId="6" w16cid:durableId="1385987984">
    <w:abstractNumId w:val="31"/>
  </w:num>
  <w:num w:numId="7" w16cid:durableId="1170371934">
    <w:abstractNumId w:val="26"/>
  </w:num>
  <w:num w:numId="8" w16cid:durableId="2074691536">
    <w:abstractNumId w:val="9"/>
  </w:num>
  <w:num w:numId="9" w16cid:durableId="1306352822">
    <w:abstractNumId w:val="22"/>
  </w:num>
  <w:num w:numId="10" w16cid:durableId="213737781">
    <w:abstractNumId w:val="3"/>
  </w:num>
  <w:num w:numId="11" w16cid:durableId="1527911170">
    <w:abstractNumId w:val="16"/>
  </w:num>
  <w:num w:numId="12" w16cid:durableId="1416248056">
    <w:abstractNumId w:val="11"/>
  </w:num>
  <w:num w:numId="13" w16cid:durableId="836262911">
    <w:abstractNumId w:val="25"/>
  </w:num>
  <w:num w:numId="14" w16cid:durableId="1480800663">
    <w:abstractNumId w:val="21"/>
  </w:num>
  <w:num w:numId="15" w16cid:durableId="22824238">
    <w:abstractNumId w:val="30"/>
  </w:num>
  <w:num w:numId="16" w16cid:durableId="1751149716">
    <w:abstractNumId w:val="1"/>
  </w:num>
  <w:num w:numId="17" w16cid:durableId="57633368">
    <w:abstractNumId w:val="19"/>
  </w:num>
  <w:num w:numId="18" w16cid:durableId="1355887029">
    <w:abstractNumId w:val="29"/>
  </w:num>
  <w:num w:numId="19" w16cid:durableId="608052375">
    <w:abstractNumId w:val="20"/>
  </w:num>
  <w:num w:numId="20" w16cid:durableId="259147392">
    <w:abstractNumId w:val="24"/>
  </w:num>
  <w:num w:numId="21" w16cid:durableId="338776435">
    <w:abstractNumId w:val="27"/>
  </w:num>
  <w:num w:numId="22" w16cid:durableId="1063867801">
    <w:abstractNumId w:val="4"/>
  </w:num>
  <w:num w:numId="23" w16cid:durableId="876816944">
    <w:abstractNumId w:val="14"/>
  </w:num>
  <w:num w:numId="24" w16cid:durableId="990056657">
    <w:abstractNumId w:val="23"/>
  </w:num>
  <w:num w:numId="25" w16cid:durableId="1730568929">
    <w:abstractNumId w:val="6"/>
  </w:num>
  <w:num w:numId="26" w16cid:durableId="185142417">
    <w:abstractNumId w:val="17"/>
  </w:num>
  <w:num w:numId="27" w16cid:durableId="1959218385">
    <w:abstractNumId w:val="8"/>
  </w:num>
  <w:num w:numId="28" w16cid:durableId="2001960919">
    <w:abstractNumId w:val="10"/>
  </w:num>
  <w:num w:numId="29" w16cid:durableId="1287588508">
    <w:abstractNumId w:val="7"/>
  </w:num>
  <w:num w:numId="30" w16cid:durableId="1022243382">
    <w:abstractNumId w:val="0"/>
  </w:num>
  <w:num w:numId="31" w16cid:durableId="865675219">
    <w:abstractNumId w:val="2"/>
  </w:num>
  <w:num w:numId="32" w16cid:durableId="1923489442">
    <w:abstractNumId w:val="1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07340"/>
    <w:rsid w:val="00001309"/>
    <w:rsid w:val="0000673B"/>
    <w:rsid w:val="0000689E"/>
    <w:rsid w:val="00006A0E"/>
    <w:rsid w:val="0001237A"/>
    <w:rsid w:val="00015E0E"/>
    <w:rsid w:val="0001665F"/>
    <w:rsid w:val="00016BA7"/>
    <w:rsid w:val="00017111"/>
    <w:rsid w:val="000230DF"/>
    <w:rsid w:val="00023D6E"/>
    <w:rsid w:val="00027099"/>
    <w:rsid w:val="0003045F"/>
    <w:rsid w:val="00031C89"/>
    <w:rsid w:val="00032EAB"/>
    <w:rsid w:val="00033B54"/>
    <w:rsid w:val="00035BD2"/>
    <w:rsid w:val="00035FA2"/>
    <w:rsid w:val="00040DC3"/>
    <w:rsid w:val="00042FD2"/>
    <w:rsid w:val="000432FB"/>
    <w:rsid w:val="0004540E"/>
    <w:rsid w:val="0004542B"/>
    <w:rsid w:val="00045E33"/>
    <w:rsid w:val="00050742"/>
    <w:rsid w:val="000510F7"/>
    <w:rsid w:val="0005351D"/>
    <w:rsid w:val="000536F6"/>
    <w:rsid w:val="00054B46"/>
    <w:rsid w:val="00056CBD"/>
    <w:rsid w:val="00057FCC"/>
    <w:rsid w:val="00061AFB"/>
    <w:rsid w:val="00065257"/>
    <w:rsid w:val="00067B61"/>
    <w:rsid w:val="00067E9F"/>
    <w:rsid w:val="000719F8"/>
    <w:rsid w:val="00072455"/>
    <w:rsid w:val="000755DD"/>
    <w:rsid w:val="00075975"/>
    <w:rsid w:val="00075AB2"/>
    <w:rsid w:val="00075EB0"/>
    <w:rsid w:val="00076CD5"/>
    <w:rsid w:val="00083278"/>
    <w:rsid w:val="00084890"/>
    <w:rsid w:val="000866A2"/>
    <w:rsid w:val="00086D0D"/>
    <w:rsid w:val="000875C1"/>
    <w:rsid w:val="00090767"/>
    <w:rsid w:val="00091A4A"/>
    <w:rsid w:val="00091E2B"/>
    <w:rsid w:val="00094613"/>
    <w:rsid w:val="00094721"/>
    <w:rsid w:val="000A6E20"/>
    <w:rsid w:val="000B5041"/>
    <w:rsid w:val="000C019F"/>
    <w:rsid w:val="000C0B11"/>
    <w:rsid w:val="000C2CF6"/>
    <w:rsid w:val="000C3A28"/>
    <w:rsid w:val="000C5507"/>
    <w:rsid w:val="000C7021"/>
    <w:rsid w:val="000C77A5"/>
    <w:rsid w:val="000D0032"/>
    <w:rsid w:val="000D1CBD"/>
    <w:rsid w:val="000D2248"/>
    <w:rsid w:val="000D3D9B"/>
    <w:rsid w:val="000D3E21"/>
    <w:rsid w:val="000E1791"/>
    <w:rsid w:val="000E2021"/>
    <w:rsid w:val="000E32D9"/>
    <w:rsid w:val="000F0FD5"/>
    <w:rsid w:val="000F1537"/>
    <w:rsid w:val="000F30F7"/>
    <w:rsid w:val="000F6401"/>
    <w:rsid w:val="00100C68"/>
    <w:rsid w:val="0010494E"/>
    <w:rsid w:val="00106912"/>
    <w:rsid w:val="00107FFB"/>
    <w:rsid w:val="001114DC"/>
    <w:rsid w:val="00112A1C"/>
    <w:rsid w:val="0011787F"/>
    <w:rsid w:val="00117E4B"/>
    <w:rsid w:val="00121328"/>
    <w:rsid w:val="001219BE"/>
    <w:rsid w:val="00122978"/>
    <w:rsid w:val="00124524"/>
    <w:rsid w:val="00125225"/>
    <w:rsid w:val="00127D2F"/>
    <w:rsid w:val="001302F5"/>
    <w:rsid w:val="001305E4"/>
    <w:rsid w:val="00131071"/>
    <w:rsid w:val="00132179"/>
    <w:rsid w:val="001328DA"/>
    <w:rsid w:val="00132E89"/>
    <w:rsid w:val="00132F50"/>
    <w:rsid w:val="00135666"/>
    <w:rsid w:val="001468AE"/>
    <w:rsid w:val="0015278A"/>
    <w:rsid w:val="00153DF4"/>
    <w:rsid w:val="001547F6"/>
    <w:rsid w:val="00155119"/>
    <w:rsid w:val="0016011F"/>
    <w:rsid w:val="0016201F"/>
    <w:rsid w:val="00164E2B"/>
    <w:rsid w:val="001659FA"/>
    <w:rsid w:val="0016638F"/>
    <w:rsid w:val="0017181D"/>
    <w:rsid w:val="00174966"/>
    <w:rsid w:val="00177EF3"/>
    <w:rsid w:val="001815C7"/>
    <w:rsid w:val="00183675"/>
    <w:rsid w:val="00184580"/>
    <w:rsid w:val="0018519D"/>
    <w:rsid w:val="001858BC"/>
    <w:rsid w:val="0018716B"/>
    <w:rsid w:val="00194B5B"/>
    <w:rsid w:val="0019566F"/>
    <w:rsid w:val="001A02F7"/>
    <w:rsid w:val="001A039C"/>
    <w:rsid w:val="001A0B13"/>
    <w:rsid w:val="001A3274"/>
    <w:rsid w:val="001A33CE"/>
    <w:rsid w:val="001A3DF8"/>
    <w:rsid w:val="001A5A7C"/>
    <w:rsid w:val="001A5ABE"/>
    <w:rsid w:val="001A6162"/>
    <w:rsid w:val="001A65DA"/>
    <w:rsid w:val="001A6F3E"/>
    <w:rsid w:val="001B003D"/>
    <w:rsid w:val="001B05EB"/>
    <w:rsid w:val="001B32D4"/>
    <w:rsid w:val="001B5008"/>
    <w:rsid w:val="001B5260"/>
    <w:rsid w:val="001B59D7"/>
    <w:rsid w:val="001C0150"/>
    <w:rsid w:val="001C0EAF"/>
    <w:rsid w:val="001C370D"/>
    <w:rsid w:val="001C3726"/>
    <w:rsid w:val="001C40A3"/>
    <w:rsid w:val="001C4876"/>
    <w:rsid w:val="001C6205"/>
    <w:rsid w:val="001C66EE"/>
    <w:rsid w:val="001C6AF9"/>
    <w:rsid w:val="001C71AF"/>
    <w:rsid w:val="001D1559"/>
    <w:rsid w:val="001D3300"/>
    <w:rsid w:val="001D407F"/>
    <w:rsid w:val="001D63B5"/>
    <w:rsid w:val="001E06CA"/>
    <w:rsid w:val="001E1047"/>
    <w:rsid w:val="001E12DA"/>
    <w:rsid w:val="001E20D1"/>
    <w:rsid w:val="001E5B3E"/>
    <w:rsid w:val="001E5FD9"/>
    <w:rsid w:val="001F0288"/>
    <w:rsid w:val="001F3140"/>
    <w:rsid w:val="001F3FAA"/>
    <w:rsid w:val="001F7E03"/>
    <w:rsid w:val="00200937"/>
    <w:rsid w:val="0020257D"/>
    <w:rsid w:val="00204141"/>
    <w:rsid w:val="00205561"/>
    <w:rsid w:val="00206512"/>
    <w:rsid w:val="00213CA0"/>
    <w:rsid w:val="00214780"/>
    <w:rsid w:val="002233FD"/>
    <w:rsid w:val="002246E1"/>
    <w:rsid w:val="00226FF2"/>
    <w:rsid w:val="00231E47"/>
    <w:rsid w:val="0023329D"/>
    <w:rsid w:val="00235EB4"/>
    <w:rsid w:val="00236FAF"/>
    <w:rsid w:val="002402CB"/>
    <w:rsid w:val="002441B4"/>
    <w:rsid w:val="00245AAD"/>
    <w:rsid w:val="0025044F"/>
    <w:rsid w:val="002546F3"/>
    <w:rsid w:val="00254C74"/>
    <w:rsid w:val="002571C9"/>
    <w:rsid w:val="002626C5"/>
    <w:rsid w:val="00265ED3"/>
    <w:rsid w:val="00267D0A"/>
    <w:rsid w:val="002711E5"/>
    <w:rsid w:val="002712C5"/>
    <w:rsid w:val="0027707E"/>
    <w:rsid w:val="00281A14"/>
    <w:rsid w:val="002830DC"/>
    <w:rsid w:val="00283CC3"/>
    <w:rsid w:val="0028437B"/>
    <w:rsid w:val="00285903"/>
    <w:rsid w:val="0029259D"/>
    <w:rsid w:val="00292B34"/>
    <w:rsid w:val="002973B5"/>
    <w:rsid w:val="002A210E"/>
    <w:rsid w:val="002A56CC"/>
    <w:rsid w:val="002A6947"/>
    <w:rsid w:val="002A7677"/>
    <w:rsid w:val="002B04A9"/>
    <w:rsid w:val="002B145F"/>
    <w:rsid w:val="002B1D40"/>
    <w:rsid w:val="002B1F87"/>
    <w:rsid w:val="002B2E02"/>
    <w:rsid w:val="002B2FBD"/>
    <w:rsid w:val="002B47DE"/>
    <w:rsid w:val="002B4B8A"/>
    <w:rsid w:val="002B5FAC"/>
    <w:rsid w:val="002B7D03"/>
    <w:rsid w:val="002C169C"/>
    <w:rsid w:val="002C404B"/>
    <w:rsid w:val="002C4C4C"/>
    <w:rsid w:val="002C4C54"/>
    <w:rsid w:val="002C71DE"/>
    <w:rsid w:val="002D106E"/>
    <w:rsid w:val="002D25A8"/>
    <w:rsid w:val="002D303E"/>
    <w:rsid w:val="002D3A85"/>
    <w:rsid w:val="002D3CC7"/>
    <w:rsid w:val="002D6C0B"/>
    <w:rsid w:val="002E081D"/>
    <w:rsid w:val="002E19A4"/>
    <w:rsid w:val="002E2293"/>
    <w:rsid w:val="002E4095"/>
    <w:rsid w:val="002F4D0A"/>
    <w:rsid w:val="002F53D4"/>
    <w:rsid w:val="002F729C"/>
    <w:rsid w:val="00302615"/>
    <w:rsid w:val="00302727"/>
    <w:rsid w:val="0030400A"/>
    <w:rsid w:val="00305B8A"/>
    <w:rsid w:val="003101DC"/>
    <w:rsid w:val="00310C93"/>
    <w:rsid w:val="003212FE"/>
    <w:rsid w:val="00327409"/>
    <w:rsid w:val="003305D0"/>
    <w:rsid w:val="0033177F"/>
    <w:rsid w:val="0033365F"/>
    <w:rsid w:val="003345FA"/>
    <w:rsid w:val="003439A3"/>
    <w:rsid w:val="00344F4E"/>
    <w:rsid w:val="00344FAF"/>
    <w:rsid w:val="00345BBA"/>
    <w:rsid w:val="00350204"/>
    <w:rsid w:val="00351180"/>
    <w:rsid w:val="00352ABE"/>
    <w:rsid w:val="00353EE8"/>
    <w:rsid w:val="00354340"/>
    <w:rsid w:val="00356008"/>
    <w:rsid w:val="00360C39"/>
    <w:rsid w:val="00361256"/>
    <w:rsid w:val="003614A4"/>
    <w:rsid w:val="00361CDA"/>
    <w:rsid w:val="0036204C"/>
    <w:rsid w:val="0036359E"/>
    <w:rsid w:val="0036363C"/>
    <w:rsid w:val="0036742A"/>
    <w:rsid w:val="00367BF2"/>
    <w:rsid w:val="00367ECC"/>
    <w:rsid w:val="00367F89"/>
    <w:rsid w:val="0037261F"/>
    <w:rsid w:val="00373FB1"/>
    <w:rsid w:val="0037468A"/>
    <w:rsid w:val="003749A5"/>
    <w:rsid w:val="00375B68"/>
    <w:rsid w:val="00377CC7"/>
    <w:rsid w:val="00385A08"/>
    <w:rsid w:val="00387544"/>
    <w:rsid w:val="0038767C"/>
    <w:rsid w:val="003901B2"/>
    <w:rsid w:val="003912B4"/>
    <w:rsid w:val="00391B8D"/>
    <w:rsid w:val="003943FF"/>
    <w:rsid w:val="003A3C06"/>
    <w:rsid w:val="003A416D"/>
    <w:rsid w:val="003A638B"/>
    <w:rsid w:val="003B1CE3"/>
    <w:rsid w:val="003B4BAC"/>
    <w:rsid w:val="003B50CC"/>
    <w:rsid w:val="003B643A"/>
    <w:rsid w:val="003B713F"/>
    <w:rsid w:val="003B7737"/>
    <w:rsid w:val="003C00C1"/>
    <w:rsid w:val="003C1AB4"/>
    <w:rsid w:val="003C1B49"/>
    <w:rsid w:val="003C347B"/>
    <w:rsid w:val="003CE6C5"/>
    <w:rsid w:val="003D00AC"/>
    <w:rsid w:val="003D010F"/>
    <w:rsid w:val="003D1317"/>
    <w:rsid w:val="003D3527"/>
    <w:rsid w:val="003D70F9"/>
    <w:rsid w:val="003E1258"/>
    <w:rsid w:val="003E3002"/>
    <w:rsid w:val="003E31F2"/>
    <w:rsid w:val="003E5BF2"/>
    <w:rsid w:val="003E769F"/>
    <w:rsid w:val="003F4E25"/>
    <w:rsid w:val="003F4EA7"/>
    <w:rsid w:val="003F7379"/>
    <w:rsid w:val="003FB576"/>
    <w:rsid w:val="00400528"/>
    <w:rsid w:val="0040108E"/>
    <w:rsid w:val="0040120B"/>
    <w:rsid w:val="00401EC3"/>
    <w:rsid w:val="00402FC5"/>
    <w:rsid w:val="00404127"/>
    <w:rsid w:val="00411AB9"/>
    <w:rsid w:val="00411E90"/>
    <w:rsid w:val="004122FC"/>
    <w:rsid w:val="004123A9"/>
    <w:rsid w:val="004149BD"/>
    <w:rsid w:val="00422702"/>
    <w:rsid w:val="00427CC2"/>
    <w:rsid w:val="004308C2"/>
    <w:rsid w:val="0043175B"/>
    <w:rsid w:val="0043265F"/>
    <w:rsid w:val="0043278C"/>
    <w:rsid w:val="00432CA8"/>
    <w:rsid w:val="00433D5C"/>
    <w:rsid w:val="00433EA3"/>
    <w:rsid w:val="00436377"/>
    <w:rsid w:val="00436C51"/>
    <w:rsid w:val="0043F80C"/>
    <w:rsid w:val="00440440"/>
    <w:rsid w:val="0044215F"/>
    <w:rsid w:val="00446E1F"/>
    <w:rsid w:val="00447BE1"/>
    <w:rsid w:val="00451214"/>
    <w:rsid w:val="0045779D"/>
    <w:rsid w:val="0046106E"/>
    <w:rsid w:val="0046274B"/>
    <w:rsid w:val="004714AB"/>
    <w:rsid w:val="0047164B"/>
    <w:rsid w:val="004735EF"/>
    <w:rsid w:val="00481A78"/>
    <w:rsid w:val="00481F4C"/>
    <w:rsid w:val="004837FE"/>
    <w:rsid w:val="0048394B"/>
    <w:rsid w:val="00483EAB"/>
    <w:rsid w:val="00483F85"/>
    <w:rsid w:val="0048462F"/>
    <w:rsid w:val="00485F31"/>
    <w:rsid w:val="00486699"/>
    <w:rsid w:val="00486C56"/>
    <w:rsid w:val="00492B7C"/>
    <w:rsid w:val="00492EFD"/>
    <w:rsid w:val="00493CA2"/>
    <w:rsid w:val="004956A8"/>
    <w:rsid w:val="004A2C91"/>
    <w:rsid w:val="004A343C"/>
    <w:rsid w:val="004A7EB9"/>
    <w:rsid w:val="004B0317"/>
    <w:rsid w:val="004B153A"/>
    <w:rsid w:val="004B24B5"/>
    <w:rsid w:val="004B2C88"/>
    <w:rsid w:val="004B52ED"/>
    <w:rsid w:val="004B56EC"/>
    <w:rsid w:val="004BFA4E"/>
    <w:rsid w:val="004C004C"/>
    <w:rsid w:val="004C1EC5"/>
    <w:rsid w:val="004C2A5A"/>
    <w:rsid w:val="004C2F34"/>
    <w:rsid w:val="004C3410"/>
    <w:rsid w:val="004C411D"/>
    <w:rsid w:val="004C45C9"/>
    <w:rsid w:val="004C7DFA"/>
    <w:rsid w:val="004D090A"/>
    <w:rsid w:val="004D0E4E"/>
    <w:rsid w:val="004D12F7"/>
    <w:rsid w:val="004D154C"/>
    <w:rsid w:val="004D166E"/>
    <w:rsid w:val="004D440A"/>
    <w:rsid w:val="004D47D6"/>
    <w:rsid w:val="004D4D35"/>
    <w:rsid w:val="004D5781"/>
    <w:rsid w:val="004D7980"/>
    <w:rsid w:val="004E044D"/>
    <w:rsid w:val="004E1787"/>
    <w:rsid w:val="004E3C2C"/>
    <w:rsid w:val="004E48E6"/>
    <w:rsid w:val="004E695A"/>
    <w:rsid w:val="004E7347"/>
    <w:rsid w:val="004E78B9"/>
    <w:rsid w:val="004E7CFF"/>
    <w:rsid w:val="004F02B5"/>
    <w:rsid w:val="004F1394"/>
    <w:rsid w:val="004F63E7"/>
    <w:rsid w:val="004F65DF"/>
    <w:rsid w:val="004F7F04"/>
    <w:rsid w:val="005002D2"/>
    <w:rsid w:val="0050097F"/>
    <w:rsid w:val="00500CE7"/>
    <w:rsid w:val="00501255"/>
    <w:rsid w:val="00501CA0"/>
    <w:rsid w:val="00501E10"/>
    <w:rsid w:val="00501FAF"/>
    <w:rsid w:val="005039AE"/>
    <w:rsid w:val="00504A42"/>
    <w:rsid w:val="0050710E"/>
    <w:rsid w:val="00513B34"/>
    <w:rsid w:val="0051452D"/>
    <w:rsid w:val="00514558"/>
    <w:rsid w:val="00515372"/>
    <w:rsid w:val="005159F5"/>
    <w:rsid w:val="005210CB"/>
    <w:rsid w:val="005213CA"/>
    <w:rsid w:val="00523972"/>
    <w:rsid w:val="00524CE0"/>
    <w:rsid w:val="00525FBD"/>
    <w:rsid w:val="0052623A"/>
    <w:rsid w:val="00526BA6"/>
    <w:rsid w:val="00526CBA"/>
    <w:rsid w:val="00526EC4"/>
    <w:rsid w:val="00533C4C"/>
    <w:rsid w:val="00534F5D"/>
    <w:rsid w:val="005351D0"/>
    <w:rsid w:val="005359A0"/>
    <w:rsid w:val="00537CFD"/>
    <w:rsid w:val="00542AC8"/>
    <w:rsid w:val="005433A7"/>
    <w:rsid w:val="005433CF"/>
    <w:rsid w:val="00543EB4"/>
    <w:rsid w:val="00544475"/>
    <w:rsid w:val="00547525"/>
    <w:rsid w:val="0055095E"/>
    <w:rsid w:val="00551754"/>
    <w:rsid w:val="005527FB"/>
    <w:rsid w:val="00554021"/>
    <w:rsid w:val="00554A21"/>
    <w:rsid w:val="00557DBD"/>
    <w:rsid w:val="00560907"/>
    <w:rsid w:val="00561674"/>
    <w:rsid w:val="00563AFC"/>
    <w:rsid w:val="00564E81"/>
    <w:rsid w:val="0056795F"/>
    <w:rsid w:val="00574EE3"/>
    <w:rsid w:val="00575D6C"/>
    <w:rsid w:val="00575E0B"/>
    <w:rsid w:val="00576B72"/>
    <w:rsid w:val="00576CAB"/>
    <w:rsid w:val="00585F97"/>
    <w:rsid w:val="0058769A"/>
    <w:rsid w:val="00597F16"/>
    <w:rsid w:val="005A3B45"/>
    <w:rsid w:val="005A4B0D"/>
    <w:rsid w:val="005A6A5B"/>
    <w:rsid w:val="005A7DD6"/>
    <w:rsid w:val="005A7F93"/>
    <w:rsid w:val="005B3D9D"/>
    <w:rsid w:val="005B46DE"/>
    <w:rsid w:val="005B4FEC"/>
    <w:rsid w:val="005B5B81"/>
    <w:rsid w:val="005C17FC"/>
    <w:rsid w:val="005C3634"/>
    <w:rsid w:val="005D1ED9"/>
    <w:rsid w:val="005D1F7A"/>
    <w:rsid w:val="005D24F2"/>
    <w:rsid w:val="005D4255"/>
    <w:rsid w:val="005D5217"/>
    <w:rsid w:val="005D7891"/>
    <w:rsid w:val="005D7DAE"/>
    <w:rsid w:val="005E5162"/>
    <w:rsid w:val="005E75FC"/>
    <w:rsid w:val="005F163A"/>
    <w:rsid w:val="005F2170"/>
    <w:rsid w:val="005F2BD5"/>
    <w:rsid w:val="005F2D35"/>
    <w:rsid w:val="005F4AA7"/>
    <w:rsid w:val="005F796E"/>
    <w:rsid w:val="005F7DAE"/>
    <w:rsid w:val="00602227"/>
    <w:rsid w:val="006039FB"/>
    <w:rsid w:val="00605318"/>
    <w:rsid w:val="00607340"/>
    <w:rsid w:val="006073D4"/>
    <w:rsid w:val="006075FA"/>
    <w:rsid w:val="006124AC"/>
    <w:rsid w:val="00612664"/>
    <w:rsid w:val="00613808"/>
    <w:rsid w:val="00614AE4"/>
    <w:rsid w:val="006151F6"/>
    <w:rsid w:val="00621356"/>
    <w:rsid w:val="006271CD"/>
    <w:rsid w:val="00628D96"/>
    <w:rsid w:val="00630AB0"/>
    <w:rsid w:val="006312A2"/>
    <w:rsid w:val="006325A1"/>
    <w:rsid w:val="00633A18"/>
    <w:rsid w:val="0063601B"/>
    <w:rsid w:val="0063685B"/>
    <w:rsid w:val="006370CB"/>
    <w:rsid w:val="00637680"/>
    <w:rsid w:val="00641546"/>
    <w:rsid w:val="00642AA5"/>
    <w:rsid w:val="00643A6B"/>
    <w:rsid w:val="00646D20"/>
    <w:rsid w:val="006473AA"/>
    <w:rsid w:val="00650037"/>
    <w:rsid w:val="00651918"/>
    <w:rsid w:val="00652390"/>
    <w:rsid w:val="00652F08"/>
    <w:rsid w:val="00654846"/>
    <w:rsid w:val="006549B8"/>
    <w:rsid w:val="0065643F"/>
    <w:rsid w:val="00656E8E"/>
    <w:rsid w:val="00657EA8"/>
    <w:rsid w:val="0066007E"/>
    <w:rsid w:val="006606F6"/>
    <w:rsid w:val="00662B79"/>
    <w:rsid w:val="00663DDC"/>
    <w:rsid w:val="00664D9C"/>
    <w:rsid w:val="006650A7"/>
    <w:rsid w:val="0066525E"/>
    <w:rsid w:val="006654D5"/>
    <w:rsid w:val="0066579C"/>
    <w:rsid w:val="0066741F"/>
    <w:rsid w:val="00670255"/>
    <w:rsid w:val="00670F79"/>
    <w:rsid w:val="006728FF"/>
    <w:rsid w:val="00673FB3"/>
    <w:rsid w:val="00674A5A"/>
    <w:rsid w:val="00674DF2"/>
    <w:rsid w:val="0067594B"/>
    <w:rsid w:val="00685A24"/>
    <w:rsid w:val="00686A58"/>
    <w:rsid w:val="00690119"/>
    <w:rsid w:val="00690931"/>
    <w:rsid w:val="00692C96"/>
    <w:rsid w:val="006939B6"/>
    <w:rsid w:val="00693C68"/>
    <w:rsid w:val="006974F8"/>
    <w:rsid w:val="006A3B9D"/>
    <w:rsid w:val="006A41B5"/>
    <w:rsid w:val="006A60B6"/>
    <w:rsid w:val="006B37BC"/>
    <w:rsid w:val="006B5CE7"/>
    <w:rsid w:val="006B69B4"/>
    <w:rsid w:val="006C1193"/>
    <w:rsid w:val="006C2247"/>
    <w:rsid w:val="006C2D9B"/>
    <w:rsid w:val="006C32C2"/>
    <w:rsid w:val="006C362A"/>
    <w:rsid w:val="006C37C7"/>
    <w:rsid w:val="006C4FA0"/>
    <w:rsid w:val="006C5B3F"/>
    <w:rsid w:val="006C5DED"/>
    <w:rsid w:val="006D0BC9"/>
    <w:rsid w:val="006D56DB"/>
    <w:rsid w:val="006D5BDD"/>
    <w:rsid w:val="006E1B90"/>
    <w:rsid w:val="006E1CC4"/>
    <w:rsid w:val="006E2471"/>
    <w:rsid w:val="006E39F6"/>
    <w:rsid w:val="006E3B25"/>
    <w:rsid w:val="006E429D"/>
    <w:rsid w:val="006E466E"/>
    <w:rsid w:val="006E4EE3"/>
    <w:rsid w:val="006E4EEC"/>
    <w:rsid w:val="006E4FC4"/>
    <w:rsid w:val="006E5018"/>
    <w:rsid w:val="006E5AFE"/>
    <w:rsid w:val="006F1B7F"/>
    <w:rsid w:val="006F242A"/>
    <w:rsid w:val="006F27BA"/>
    <w:rsid w:val="006F56C1"/>
    <w:rsid w:val="006F6760"/>
    <w:rsid w:val="00700B8C"/>
    <w:rsid w:val="00703C18"/>
    <w:rsid w:val="007056C5"/>
    <w:rsid w:val="0070746F"/>
    <w:rsid w:val="007075D9"/>
    <w:rsid w:val="00711A0F"/>
    <w:rsid w:val="00712B3A"/>
    <w:rsid w:val="00714CD9"/>
    <w:rsid w:val="00715EA0"/>
    <w:rsid w:val="00717535"/>
    <w:rsid w:val="00717BFE"/>
    <w:rsid w:val="00718121"/>
    <w:rsid w:val="00723821"/>
    <w:rsid w:val="00726D08"/>
    <w:rsid w:val="00727490"/>
    <w:rsid w:val="00730584"/>
    <w:rsid w:val="007321A8"/>
    <w:rsid w:val="0073413E"/>
    <w:rsid w:val="007425AC"/>
    <w:rsid w:val="00744034"/>
    <w:rsid w:val="007443FF"/>
    <w:rsid w:val="00747828"/>
    <w:rsid w:val="00750983"/>
    <w:rsid w:val="00750ECF"/>
    <w:rsid w:val="00752AE7"/>
    <w:rsid w:val="0076405B"/>
    <w:rsid w:val="0076435F"/>
    <w:rsid w:val="00764AC8"/>
    <w:rsid w:val="007650FF"/>
    <w:rsid w:val="00770991"/>
    <w:rsid w:val="00772848"/>
    <w:rsid w:val="00772AA8"/>
    <w:rsid w:val="0078017C"/>
    <w:rsid w:val="00780C95"/>
    <w:rsid w:val="007810AB"/>
    <w:rsid w:val="0078182E"/>
    <w:rsid w:val="00781E5A"/>
    <w:rsid w:val="00784D63"/>
    <w:rsid w:val="007850ED"/>
    <w:rsid w:val="0078568B"/>
    <w:rsid w:val="00785A08"/>
    <w:rsid w:val="00787AA4"/>
    <w:rsid w:val="0079067F"/>
    <w:rsid w:val="00795295"/>
    <w:rsid w:val="0079584F"/>
    <w:rsid w:val="007A0510"/>
    <w:rsid w:val="007A4ED5"/>
    <w:rsid w:val="007A4FC3"/>
    <w:rsid w:val="007A6B99"/>
    <w:rsid w:val="007B1C4E"/>
    <w:rsid w:val="007B32A2"/>
    <w:rsid w:val="007B4FB4"/>
    <w:rsid w:val="007C1207"/>
    <w:rsid w:val="007C14CE"/>
    <w:rsid w:val="007C1500"/>
    <w:rsid w:val="007C33B5"/>
    <w:rsid w:val="007C462B"/>
    <w:rsid w:val="007C4F67"/>
    <w:rsid w:val="007C5F3E"/>
    <w:rsid w:val="007D3348"/>
    <w:rsid w:val="007E1007"/>
    <w:rsid w:val="007E250A"/>
    <w:rsid w:val="007E5367"/>
    <w:rsid w:val="007F228D"/>
    <w:rsid w:val="007F2B0C"/>
    <w:rsid w:val="007F7121"/>
    <w:rsid w:val="007F7390"/>
    <w:rsid w:val="007F77B1"/>
    <w:rsid w:val="00801C9A"/>
    <w:rsid w:val="00802EA2"/>
    <w:rsid w:val="00805191"/>
    <w:rsid w:val="0080581C"/>
    <w:rsid w:val="00807A60"/>
    <w:rsid w:val="00813453"/>
    <w:rsid w:val="00813FD2"/>
    <w:rsid w:val="00815299"/>
    <w:rsid w:val="0082102B"/>
    <w:rsid w:val="008219F3"/>
    <w:rsid w:val="00824220"/>
    <w:rsid w:val="00824763"/>
    <w:rsid w:val="00824837"/>
    <w:rsid w:val="00825D40"/>
    <w:rsid w:val="00831477"/>
    <w:rsid w:val="0083539C"/>
    <w:rsid w:val="008358A7"/>
    <w:rsid w:val="00835FBF"/>
    <w:rsid w:val="00835FD2"/>
    <w:rsid w:val="00837100"/>
    <w:rsid w:val="008410AA"/>
    <w:rsid w:val="0084213C"/>
    <w:rsid w:val="00845943"/>
    <w:rsid w:val="0084621B"/>
    <w:rsid w:val="008463A3"/>
    <w:rsid w:val="00846834"/>
    <w:rsid w:val="008473A2"/>
    <w:rsid w:val="00847C21"/>
    <w:rsid w:val="008504A2"/>
    <w:rsid w:val="00855C5E"/>
    <w:rsid w:val="00856124"/>
    <w:rsid w:val="00857681"/>
    <w:rsid w:val="00861AF3"/>
    <w:rsid w:val="00862AA8"/>
    <w:rsid w:val="00863168"/>
    <w:rsid w:val="0086403C"/>
    <w:rsid w:val="00864699"/>
    <w:rsid w:val="00864BBA"/>
    <w:rsid w:val="00864DDB"/>
    <w:rsid w:val="00866539"/>
    <w:rsid w:val="0087332A"/>
    <w:rsid w:val="008755E6"/>
    <w:rsid w:val="00875C98"/>
    <w:rsid w:val="0087654E"/>
    <w:rsid w:val="00876757"/>
    <w:rsid w:val="008777EE"/>
    <w:rsid w:val="0087D379"/>
    <w:rsid w:val="00881326"/>
    <w:rsid w:val="00882621"/>
    <w:rsid w:val="00882A3D"/>
    <w:rsid w:val="008866BA"/>
    <w:rsid w:val="00886911"/>
    <w:rsid w:val="00892097"/>
    <w:rsid w:val="008925E9"/>
    <w:rsid w:val="00893E43"/>
    <w:rsid w:val="0089405D"/>
    <w:rsid w:val="0089763B"/>
    <w:rsid w:val="0089791B"/>
    <w:rsid w:val="008A0F79"/>
    <w:rsid w:val="008A1639"/>
    <w:rsid w:val="008A39D7"/>
    <w:rsid w:val="008B1BBE"/>
    <w:rsid w:val="008B29C5"/>
    <w:rsid w:val="008B7DA9"/>
    <w:rsid w:val="008C015A"/>
    <w:rsid w:val="008C0BD2"/>
    <w:rsid w:val="008C1E23"/>
    <w:rsid w:val="008C31C4"/>
    <w:rsid w:val="008C47EE"/>
    <w:rsid w:val="008C592D"/>
    <w:rsid w:val="008D2AFD"/>
    <w:rsid w:val="008D2BDA"/>
    <w:rsid w:val="008D61C9"/>
    <w:rsid w:val="008D6AC4"/>
    <w:rsid w:val="008D6B11"/>
    <w:rsid w:val="008D71BE"/>
    <w:rsid w:val="008E15E3"/>
    <w:rsid w:val="008E3B83"/>
    <w:rsid w:val="008E66B3"/>
    <w:rsid w:val="008E7076"/>
    <w:rsid w:val="008F41A0"/>
    <w:rsid w:val="008F5AED"/>
    <w:rsid w:val="008F6E5B"/>
    <w:rsid w:val="008F6FAF"/>
    <w:rsid w:val="0090259B"/>
    <w:rsid w:val="00902657"/>
    <w:rsid w:val="00902CE0"/>
    <w:rsid w:val="009043C3"/>
    <w:rsid w:val="00904561"/>
    <w:rsid w:val="00907EE2"/>
    <w:rsid w:val="00907F1E"/>
    <w:rsid w:val="009139BF"/>
    <w:rsid w:val="00914FBF"/>
    <w:rsid w:val="009158E8"/>
    <w:rsid w:val="00915DC0"/>
    <w:rsid w:val="00916841"/>
    <w:rsid w:val="00921A16"/>
    <w:rsid w:val="00922156"/>
    <w:rsid w:val="009276A7"/>
    <w:rsid w:val="00930832"/>
    <w:rsid w:val="00930A24"/>
    <w:rsid w:val="00930D3C"/>
    <w:rsid w:val="009330B7"/>
    <w:rsid w:val="00933EEB"/>
    <w:rsid w:val="00936D2B"/>
    <w:rsid w:val="0093711E"/>
    <w:rsid w:val="009413B7"/>
    <w:rsid w:val="00941AF5"/>
    <w:rsid w:val="00945FC2"/>
    <w:rsid w:val="00946FB1"/>
    <w:rsid w:val="0094791C"/>
    <w:rsid w:val="00947B47"/>
    <w:rsid w:val="00951FE8"/>
    <w:rsid w:val="0095238A"/>
    <w:rsid w:val="00953C5C"/>
    <w:rsid w:val="00955099"/>
    <w:rsid w:val="009560C2"/>
    <w:rsid w:val="00956753"/>
    <w:rsid w:val="00956E1A"/>
    <w:rsid w:val="00961910"/>
    <w:rsid w:val="00962C6B"/>
    <w:rsid w:val="009649A0"/>
    <w:rsid w:val="0096559D"/>
    <w:rsid w:val="00973C1E"/>
    <w:rsid w:val="0098222D"/>
    <w:rsid w:val="0098261D"/>
    <w:rsid w:val="00984F1A"/>
    <w:rsid w:val="00986BBA"/>
    <w:rsid w:val="009919C7"/>
    <w:rsid w:val="00993176"/>
    <w:rsid w:val="00993380"/>
    <w:rsid w:val="00993908"/>
    <w:rsid w:val="00993C89"/>
    <w:rsid w:val="009942A2"/>
    <w:rsid w:val="009966B7"/>
    <w:rsid w:val="00996A17"/>
    <w:rsid w:val="00997D06"/>
    <w:rsid w:val="00997E12"/>
    <w:rsid w:val="00997E34"/>
    <w:rsid w:val="009A012F"/>
    <w:rsid w:val="009A2331"/>
    <w:rsid w:val="009A2B7C"/>
    <w:rsid w:val="009A3BF3"/>
    <w:rsid w:val="009A4B31"/>
    <w:rsid w:val="009A650C"/>
    <w:rsid w:val="009A6AF8"/>
    <w:rsid w:val="009A7487"/>
    <w:rsid w:val="009B375F"/>
    <w:rsid w:val="009B37F4"/>
    <w:rsid w:val="009B48C7"/>
    <w:rsid w:val="009B6535"/>
    <w:rsid w:val="009C0BE6"/>
    <w:rsid w:val="009C15C3"/>
    <w:rsid w:val="009C3B87"/>
    <w:rsid w:val="009C4028"/>
    <w:rsid w:val="009C43E6"/>
    <w:rsid w:val="009D04D0"/>
    <w:rsid w:val="009D3A3C"/>
    <w:rsid w:val="009D4927"/>
    <w:rsid w:val="009D4AB0"/>
    <w:rsid w:val="009D6F0D"/>
    <w:rsid w:val="009E22A7"/>
    <w:rsid w:val="009E2DED"/>
    <w:rsid w:val="009E4400"/>
    <w:rsid w:val="009E4414"/>
    <w:rsid w:val="009E6EFF"/>
    <w:rsid w:val="009F00EB"/>
    <w:rsid w:val="009F0514"/>
    <w:rsid w:val="009F0A42"/>
    <w:rsid w:val="009F2C10"/>
    <w:rsid w:val="009F59A5"/>
    <w:rsid w:val="00A0117F"/>
    <w:rsid w:val="00A01EEC"/>
    <w:rsid w:val="00A02363"/>
    <w:rsid w:val="00A025D2"/>
    <w:rsid w:val="00A031D0"/>
    <w:rsid w:val="00A03EB2"/>
    <w:rsid w:val="00A057A3"/>
    <w:rsid w:val="00A05D3D"/>
    <w:rsid w:val="00A0754E"/>
    <w:rsid w:val="00A12024"/>
    <w:rsid w:val="00A12146"/>
    <w:rsid w:val="00A1478D"/>
    <w:rsid w:val="00A167D5"/>
    <w:rsid w:val="00A17F1B"/>
    <w:rsid w:val="00A212E9"/>
    <w:rsid w:val="00A24777"/>
    <w:rsid w:val="00A2645E"/>
    <w:rsid w:val="00A2F744"/>
    <w:rsid w:val="00A301F4"/>
    <w:rsid w:val="00A30D42"/>
    <w:rsid w:val="00A31084"/>
    <w:rsid w:val="00A315C3"/>
    <w:rsid w:val="00A34C2C"/>
    <w:rsid w:val="00A40324"/>
    <w:rsid w:val="00A404C1"/>
    <w:rsid w:val="00A4090D"/>
    <w:rsid w:val="00A426EA"/>
    <w:rsid w:val="00A43287"/>
    <w:rsid w:val="00A453A6"/>
    <w:rsid w:val="00A46A8F"/>
    <w:rsid w:val="00A473DF"/>
    <w:rsid w:val="00A52D86"/>
    <w:rsid w:val="00A57BA9"/>
    <w:rsid w:val="00A66E60"/>
    <w:rsid w:val="00A70B4D"/>
    <w:rsid w:val="00A7188B"/>
    <w:rsid w:val="00A72405"/>
    <w:rsid w:val="00A741D4"/>
    <w:rsid w:val="00A751F6"/>
    <w:rsid w:val="00A827D4"/>
    <w:rsid w:val="00A83CC1"/>
    <w:rsid w:val="00A86193"/>
    <w:rsid w:val="00A862A4"/>
    <w:rsid w:val="00A86332"/>
    <w:rsid w:val="00A918AD"/>
    <w:rsid w:val="00A93023"/>
    <w:rsid w:val="00A94019"/>
    <w:rsid w:val="00A9465D"/>
    <w:rsid w:val="00A95B4F"/>
    <w:rsid w:val="00AA086F"/>
    <w:rsid w:val="00AA15BE"/>
    <w:rsid w:val="00AA6EA0"/>
    <w:rsid w:val="00AA7165"/>
    <w:rsid w:val="00AA74B7"/>
    <w:rsid w:val="00AA7748"/>
    <w:rsid w:val="00AA7F36"/>
    <w:rsid w:val="00AB0EFD"/>
    <w:rsid w:val="00AB579D"/>
    <w:rsid w:val="00AB6B07"/>
    <w:rsid w:val="00AC048D"/>
    <w:rsid w:val="00AC09A9"/>
    <w:rsid w:val="00AC195E"/>
    <w:rsid w:val="00AC1A28"/>
    <w:rsid w:val="00AD292A"/>
    <w:rsid w:val="00AD339A"/>
    <w:rsid w:val="00AD4B9A"/>
    <w:rsid w:val="00AD5D90"/>
    <w:rsid w:val="00AD64A9"/>
    <w:rsid w:val="00AD6773"/>
    <w:rsid w:val="00AE2702"/>
    <w:rsid w:val="00AE2797"/>
    <w:rsid w:val="00AE3DF1"/>
    <w:rsid w:val="00AE3ED0"/>
    <w:rsid w:val="00AE4F34"/>
    <w:rsid w:val="00AE5B2E"/>
    <w:rsid w:val="00AE5F2A"/>
    <w:rsid w:val="00AE6475"/>
    <w:rsid w:val="00AE684F"/>
    <w:rsid w:val="00AF042E"/>
    <w:rsid w:val="00AF2517"/>
    <w:rsid w:val="00AF3D20"/>
    <w:rsid w:val="00AF4C87"/>
    <w:rsid w:val="00AF7733"/>
    <w:rsid w:val="00B01E9E"/>
    <w:rsid w:val="00B03DD1"/>
    <w:rsid w:val="00B04EAC"/>
    <w:rsid w:val="00B069DF"/>
    <w:rsid w:val="00B103AC"/>
    <w:rsid w:val="00B11227"/>
    <w:rsid w:val="00B11E0F"/>
    <w:rsid w:val="00B136D5"/>
    <w:rsid w:val="00B138F2"/>
    <w:rsid w:val="00B13958"/>
    <w:rsid w:val="00B142E0"/>
    <w:rsid w:val="00B15E00"/>
    <w:rsid w:val="00B170DB"/>
    <w:rsid w:val="00B17619"/>
    <w:rsid w:val="00B210E7"/>
    <w:rsid w:val="00B21566"/>
    <w:rsid w:val="00B254F9"/>
    <w:rsid w:val="00B27DEB"/>
    <w:rsid w:val="00B30F6C"/>
    <w:rsid w:val="00B34360"/>
    <w:rsid w:val="00B40783"/>
    <w:rsid w:val="00B410DA"/>
    <w:rsid w:val="00B4120C"/>
    <w:rsid w:val="00B42E3F"/>
    <w:rsid w:val="00B43CEE"/>
    <w:rsid w:val="00B43E64"/>
    <w:rsid w:val="00B46C0D"/>
    <w:rsid w:val="00B4741D"/>
    <w:rsid w:val="00B474BA"/>
    <w:rsid w:val="00B51B2D"/>
    <w:rsid w:val="00B526EC"/>
    <w:rsid w:val="00B6082D"/>
    <w:rsid w:val="00B61A5E"/>
    <w:rsid w:val="00B642E3"/>
    <w:rsid w:val="00B65DB2"/>
    <w:rsid w:val="00B67521"/>
    <w:rsid w:val="00B703B6"/>
    <w:rsid w:val="00B70F41"/>
    <w:rsid w:val="00B71E37"/>
    <w:rsid w:val="00B73E3D"/>
    <w:rsid w:val="00B8147E"/>
    <w:rsid w:val="00B8178F"/>
    <w:rsid w:val="00B835D6"/>
    <w:rsid w:val="00B83822"/>
    <w:rsid w:val="00B84DA1"/>
    <w:rsid w:val="00B85671"/>
    <w:rsid w:val="00B865B0"/>
    <w:rsid w:val="00B86AB3"/>
    <w:rsid w:val="00B87D75"/>
    <w:rsid w:val="00B91349"/>
    <w:rsid w:val="00B92F82"/>
    <w:rsid w:val="00B96E75"/>
    <w:rsid w:val="00B97769"/>
    <w:rsid w:val="00BA09A3"/>
    <w:rsid w:val="00BA1E24"/>
    <w:rsid w:val="00BA38EB"/>
    <w:rsid w:val="00BA456E"/>
    <w:rsid w:val="00BA6CD2"/>
    <w:rsid w:val="00BAF3E6"/>
    <w:rsid w:val="00BB0465"/>
    <w:rsid w:val="00BB4ED5"/>
    <w:rsid w:val="00BB5511"/>
    <w:rsid w:val="00BB6FA9"/>
    <w:rsid w:val="00BB78B7"/>
    <w:rsid w:val="00BB7C9B"/>
    <w:rsid w:val="00BC103F"/>
    <w:rsid w:val="00BC2390"/>
    <w:rsid w:val="00BC3164"/>
    <w:rsid w:val="00BC4B1D"/>
    <w:rsid w:val="00BC4E1C"/>
    <w:rsid w:val="00BC71DE"/>
    <w:rsid w:val="00BD2D72"/>
    <w:rsid w:val="00BD3646"/>
    <w:rsid w:val="00BD5312"/>
    <w:rsid w:val="00BD6AB4"/>
    <w:rsid w:val="00BD7D60"/>
    <w:rsid w:val="00BE225D"/>
    <w:rsid w:val="00BE30CE"/>
    <w:rsid w:val="00BE36BD"/>
    <w:rsid w:val="00BE48C9"/>
    <w:rsid w:val="00BE4DAA"/>
    <w:rsid w:val="00BE5775"/>
    <w:rsid w:val="00BE5DB1"/>
    <w:rsid w:val="00BF0575"/>
    <w:rsid w:val="00BF1D98"/>
    <w:rsid w:val="00BF261B"/>
    <w:rsid w:val="00BF4A8F"/>
    <w:rsid w:val="00BF5624"/>
    <w:rsid w:val="00BF56EE"/>
    <w:rsid w:val="00BF69AF"/>
    <w:rsid w:val="00BF78DD"/>
    <w:rsid w:val="00BF797D"/>
    <w:rsid w:val="00C00EE1"/>
    <w:rsid w:val="00C04534"/>
    <w:rsid w:val="00C057E2"/>
    <w:rsid w:val="00C05CD9"/>
    <w:rsid w:val="00C0680A"/>
    <w:rsid w:val="00C12BB8"/>
    <w:rsid w:val="00C15B38"/>
    <w:rsid w:val="00C16E1E"/>
    <w:rsid w:val="00C22789"/>
    <w:rsid w:val="00C23FB4"/>
    <w:rsid w:val="00C244E4"/>
    <w:rsid w:val="00C25F86"/>
    <w:rsid w:val="00C278C7"/>
    <w:rsid w:val="00C3119E"/>
    <w:rsid w:val="00C331E1"/>
    <w:rsid w:val="00C417C3"/>
    <w:rsid w:val="00C44A01"/>
    <w:rsid w:val="00C5085A"/>
    <w:rsid w:val="00C50FA4"/>
    <w:rsid w:val="00C53AD4"/>
    <w:rsid w:val="00C53D80"/>
    <w:rsid w:val="00C53ECD"/>
    <w:rsid w:val="00C568D8"/>
    <w:rsid w:val="00C579B7"/>
    <w:rsid w:val="00C5B03E"/>
    <w:rsid w:val="00C61873"/>
    <w:rsid w:val="00C62C3E"/>
    <w:rsid w:val="00C651BD"/>
    <w:rsid w:val="00C71B32"/>
    <w:rsid w:val="00C73D66"/>
    <w:rsid w:val="00C74B39"/>
    <w:rsid w:val="00C757F8"/>
    <w:rsid w:val="00C76120"/>
    <w:rsid w:val="00C76613"/>
    <w:rsid w:val="00C767D0"/>
    <w:rsid w:val="00C77854"/>
    <w:rsid w:val="00C85384"/>
    <w:rsid w:val="00C85526"/>
    <w:rsid w:val="00C85559"/>
    <w:rsid w:val="00C85FC4"/>
    <w:rsid w:val="00C87161"/>
    <w:rsid w:val="00C87484"/>
    <w:rsid w:val="00C87FE7"/>
    <w:rsid w:val="00C90228"/>
    <w:rsid w:val="00C911A0"/>
    <w:rsid w:val="00C915A3"/>
    <w:rsid w:val="00C920ED"/>
    <w:rsid w:val="00C93B84"/>
    <w:rsid w:val="00CA3B2C"/>
    <w:rsid w:val="00CA3D13"/>
    <w:rsid w:val="00CA4A0E"/>
    <w:rsid w:val="00CA5231"/>
    <w:rsid w:val="00CA5467"/>
    <w:rsid w:val="00CA5B84"/>
    <w:rsid w:val="00CB0359"/>
    <w:rsid w:val="00CB1089"/>
    <w:rsid w:val="00CB23DF"/>
    <w:rsid w:val="00CB267F"/>
    <w:rsid w:val="00CC00CD"/>
    <w:rsid w:val="00CC37D4"/>
    <w:rsid w:val="00CC4433"/>
    <w:rsid w:val="00CC73D7"/>
    <w:rsid w:val="00CC76B7"/>
    <w:rsid w:val="00CC7D59"/>
    <w:rsid w:val="00CD41D7"/>
    <w:rsid w:val="00CD5CD6"/>
    <w:rsid w:val="00CD7BA1"/>
    <w:rsid w:val="00CE034D"/>
    <w:rsid w:val="00CE3518"/>
    <w:rsid w:val="00CE379D"/>
    <w:rsid w:val="00CE57B9"/>
    <w:rsid w:val="00CE5FD8"/>
    <w:rsid w:val="00CE7924"/>
    <w:rsid w:val="00CEA897"/>
    <w:rsid w:val="00CF0D25"/>
    <w:rsid w:val="00CF3487"/>
    <w:rsid w:val="00CF3EDF"/>
    <w:rsid w:val="00CF5746"/>
    <w:rsid w:val="00D01FEE"/>
    <w:rsid w:val="00D028C3"/>
    <w:rsid w:val="00D052C2"/>
    <w:rsid w:val="00D06822"/>
    <w:rsid w:val="00D133BC"/>
    <w:rsid w:val="00D15EDD"/>
    <w:rsid w:val="00D16B5F"/>
    <w:rsid w:val="00D1729A"/>
    <w:rsid w:val="00D17F6F"/>
    <w:rsid w:val="00D206E0"/>
    <w:rsid w:val="00D24B35"/>
    <w:rsid w:val="00D27374"/>
    <w:rsid w:val="00D27506"/>
    <w:rsid w:val="00D30368"/>
    <w:rsid w:val="00D30AB1"/>
    <w:rsid w:val="00D30B1B"/>
    <w:rsid w:val="00D3379E"/>
    <w:rsid w:val="00D34177"/>
    <w:rsid w:val="00D34458"/>
    <w:rsid w:val="00D37CBF"/>
    <w:rsid w:val="00D4244F"/>
    <w:rsid w:val="00D46ED8"/>
    <w:rsid w:val="00D46FC9"/>
    <w:rsid w:val="00D50AF2"/>
    <w:rsid w:val="00D50E61"/>
    <w:rsid w:val="00D516FC"/>
    <w:rsid w:val="00D54022"/>
    <w:rsid w:val="00D54691"/>
    <w:rsid w:val="00D560A1"/>
    <w:rsid w:val="00D56A9E"/>
    <w:rsid w:val="00D63E62"/>
    <w:rsid w:val="00D63EC8"/>
    <w:rsid w:val="00D66869"/>
    <w:rsid w:val="00D66E71"/>
    <w:rsid w:val="00D67B30"/>
    <w:rsid w:val="00D71838"/>
    <w:rsid w:val="00D7219F"/>
    <w:rsid w:val="00D73D33"/>
    <w:rsid w:val="00D7452B"/>
    <w:rsid w:val="00D74F22"/>
    <w:rsid w:val="00D76077"/>
    <w:rsid w:val="00D772C3"/>
    <w:rsid w:val="00D77F4C"/>
    <w:rsid w:val="00D8055C"/>
    <w:rsid w:val="00D80A08"/>
    <w:rsid w:val="00D80B85"/>
    <w:rsid w:val="00D81456"/>
    <w:rsid w:val="00D81A11"/>
    <w:rsid w:val="00D82EBC"/>
    <w:rsid w:val="00D82F92"/>
    <w:rsid w:val="00D837E2"/>
    <w:rsid w:val="00D8551C"/>
    <w:rsid w:val="00D85C88"/>
    <w:rsid w:val="00D86E16"/>
    <w:rsid w:val="00D91C29"/>
    <w:rsid w:val="00D95467"/>
    <w:rsid w:val="00DA011F"/>
    <w:rsid w:val="00DA38CA"/>
    <w:rsid w:val="00DA62F1"/>
    <w:rsid w:val="00DB1F01"/>
    <w:rsid w:val="00DB7CB9"/>
    <w:rsid w:val="00DBE1A4"/>
    <w:rsid w:val="00DC0E34"/>
    <w:rsid w:val="00DC3894"/>
    <w:rsid w:val="00DC5C15"/>
    <w:rsid w:val="00DD1B08"/>
    <w:rsid w:val="00DD40C3"/>
    <w:rsid w:val="00DD4EDC"/>
    <w:rsid w:val="00DD526F"/>
    <w:rsid w:val="00DD6307"/>
    <w:rsid w:val="00DD71CC"/>
    <w:rsid w:val="00DE278D"/>
    <w:rsid w:val="00DE4ED6"/>
    <w:rsid w:val="00DE5717"/>
    <w:rsid w:val="00DE6621"/>
    <w:rsid w:val="00DF484A"/>
    <w:rsid w:val="00DF4FA0"/>
    <w:rsid w:val="00DF6CF1"/>
    <w:rsid w:val="00E004D4"/>
    <w:rsid w:val="00E02379"/>
    <w:rsid w:val="00E14080"/>
    <w:rsid w:val="00E14B4C"/>
    <w:rsid w:val="00E163FB"/>
    <w:rsid w:val="00E22D72"/>
    <w:rsid w:val="00E23036"/>
    <w:rsid w:val="00E306CA"/>
    <w:rsid w:val="00E35F7C"/>
    <w:rsid w:val="00E3649D"/>
    <w:rsid w:val="00E37661"/>
    <w:rsid w:val="00E378AF"/>
    <w:rsid w:val="00E401CE"/>
    <w:rsid w:val="00E408B3"/>
    <w:rsid w:val="00E41132"/>
    <w:rsid w:val="00E42145"/>
    <w:rsid w:val="00E4218B"/>
    <w:rsid w:val="00E44796"/>
    <w:rsid w:val="00E45038"/>
    <w:rsid w:val="00E4534B"/>
    <w:rsid w:val="00E46E8F"/>
    <w:rsid w:val="00E478CB"/>
    <w:rsid w:val="00E50D38"/>
    <w:rsid w:val="00E51592"/>
    <w:rsid w:val="00E568DC"/>
    <w:rsid w:val="00E56AA4"/>
    <w:rsid w:val="00E60562"/>
    <w:rsid w:val="00E6063E"/>
    <w:rsid w:val="00E613D7"/>
    <w:rsid w:val="00E61A6C"/>
    <w:rsid w:val="00E7074B"/>
    <w:rsid w:val="00E7181F"/>
    <w:rsid w:val="00E72137"/>
    <w:rsid w:val="00E73199"/>
    <w:rsid w:val="00E76EEC"/>
    <w:rsid w:val="00E77331"/>
    <w:rsid w:val="00E77824"/>
    <w:rsid w:val="00E80DC2"/>
    <w:rsid w:val="00E810E2"/>
    <w:rsid w:val="00E83139"/>
    <w:rsid w:val="00E87DBF"/>
    <w:rsid w:val="00E91840"/>
    <w:rsid w:val="00E9187E"/>
    <w:rsid w:val="00E91B92"/>
    <w:rsid w:val="00EA21CD"/>
    <w:rsid w:val="00EA2EB8"/>
    <w:rsid w:val="00EA3EA0"/>
    <w:rsid w:val="00EB01D3"/>
    <w:rsid w:val="00EB088A"/>
    <w:rsid w:val="00EB0AAD"/>
    <w:rsid w:val="00EB2704"/>
    <w:rsid w:val="00EB4FA0"/>
    <w:rsid w:val="00EB5877"/>
    <w:rsid w:val="00EB7D7A"/>
    <w:rsid w:val="00EC18CE"/>
    <w:rsid w:val="00EC57E7"/>
    <w:rsid w:val="00EC660C"/>
    <w:rsid w:val="00ED0DD5"/>
    <w:rsid w:val="00ED0F5F"/>
    <w:rsid w:val="00ED1932"/>
    <w:rsid w:val="00ED1B65"/>
    <w:rsid w:val="00ED42C5"/>
    <w:rsid w:val="00EE13AC"/>
    <w:rsid w:val="00EE1C41"/>
    <w:rsid w:val="00EE1F1F"/>
    <w:rsid w:val="00EE20A7"/>
    <w:rsid w:val="00EE51AF"/>
    <w:rsid w:val="00EE644E"/>
    <w:rsid w:val="00EE67B8"/>
    <w:rsid w:val="00EE7E68"/>
    <w:rsid w:val="00EF04DF"/>
    <w:rsid w:val="00EF1BE1"/>
    <w:rsid w:val="00EF3DD0"/>
    <w:rsid w:val="00EF3FD5"/>
    <w:rsid w:val="00EF4286"/>
    <w:rsid w:val="00EF6291"/>
    <w:rsid w:val="00EF6C24"/>
    <w:rsid w:val="00EF7886"/>
    <w:rsid w:val="00F01C24"/>
    <w:rsid w:val="00F01D3D"/>
    <w:rsid w:val="00F04F02"/>
    <w:rsid w:val="00F112DC"/>
    <w:rsid w:val="00F11F1C"/>
    <w:rsid w:val="00F14791"/>
    <w:rsid w:val="00F15BC2"/>
    <w:rsid w:val="00F16CEC"/>
    <w:rsid w:val="00F2326E"/>
    <w:rsid w:val="00F27170"/>
    <w:rsid w:val="00F35ACE"/>
    <w:rsid w:val="00F35FE7"/>
    <w:rsid w:val="00F41CBD"/>
    <w:rsid w:val="00F42E4B"/>
    <w:rsid w:val="00F46561"/>
    <w:rsid w:val="00F5078E"/>
    <w:rsid w:val="00F5234C"/>
    <w:rsid w:val="00F52DF8"/>
    <w:rsid w:val="00F5524E"/>
    <w:rsid w:val="00F57B0C"/>
    <w:rsid w:val="00F61D75"/>
    <w:rsid w:val="00F61FA8"/>
    <w:rsid w:val="00F630F2"/>
    <w:rsid w:val="00F64494"/>
    <w:rsid w:val="00F64CBF"/>
    <w:rsid w:val="00F65430"/>
    <w:rsid w:val="00F65C1F"/>
    <w:rsid w:val="00F70B09"/>
    <w:rsid w:val="00F70CA3"/>
    <w:rsid w:val="00F71E8A"/>
    <w:rsid w:val="00F738A9"/>
    <w:rsid w:val="00F74329"/>
    <w:rsid w:val="00F748C6"/>
    <w:rsid w:val="00F7594C"/>
    <w:rsid w:val="00F75CDD"/>
    <w:rsid w:val="00F76AA5"/>
    <w:rsid w:val="00F77433"/>
    <w:rsid w:val="00F808A9"/>
    <w:rsid w:val="00F81FCE"/>
    <w:rsid w:val="00F821C7"/>
    <w:rsid w:val="00F8351F"/>
    <w:rsid w:val="00F8403B"/>
    <w:rsid w:val="00F843B3"/>
    <w:rsid w:val="00F86DC5"/>
    <w:rsid w:val="00F91609"/>
    <w:rsid w:val="00F93A67"/>
    <w:rsid w:val="00F971C0"/>
    <w:rsid w:val="00F97839"/>
    <w:rsid w:val="00FA2F35"/>
    <w:rsid w:val="00FB0570"/>
    <w:rsid w:val="00FB0E15"/>
    <w:rsid w:val="00FB3A42"/>
    <w:rsid w:val="00FB3BCB"/>
    <w:rsid w:val="00FB5043"/>
    <w:rsid w:val="00FB59C7"/>
    <w:rsid w:val="00FB728D"/>
    <w:rsid w:val="00FB7D91"/>
    <w:rsid w:val="00FB7E35"/>
    <w:rsid w:val="00FC2FDF"/>
    <w:rsid w:val="00FC3C54"/>
    <w:rsid w:val="00FC5F0D"/>
    <w:rsid w:val="00FC7A01"/>
    <w:rsid w:val="00FC7E08"/>
    <w:rsid w:val="00FC9ADA"/>
    <w:rsid w:val="00FD008C"/>
    <w:rsid w:val="00FD0A77"/>
    <w:rsid w:val="00FD3852"/>
    <w:rsid w:val="00FD5D8E"/>
    <w:rsid w:val="00FD7708"/>
    <w:rsid w:val="00FD7730"/>
    <w:rsid w:val="00FE16AA"/>
    <w:rsid w:val="00FE248F"/>
    <w:rsid w:val="00FE3788"/>
    <w:rsid w:val="00FE5B41"/>
    <w:rsid w:val="00FE71D8"/>
    <w:rsid w:val="00FF0F22"/>
    <w:rsid w:val="00FF1199"/>
    <w:rsid w:val="00FF1BA1"/>
    <w:rsid w:val="00FF2033"/>
    <w:rsid w:val="00FF34B4"/>
    <w:rsid w:val="00FF3EEC"/>
    <w:rsid w:val="00FF541E"/>
    <w:rsid w:val="00FF616A"/>
    <w:rsid w:val="010E58BB"/>
    <w:rsid w:val="0114704C"/>
    <w:rsid w:val="0117C6E3"/>
    <w:rsid w:val="01291255"/>
    <w:rsid w:val="012BE9F8"/>
    <w:rsid w:val="0164F8C5"/>
    <w:rsid w:val="016F3E4E"/>
    <w:rsid w:val="0172823F"/>
    <w:rsid w:val="0174C469"/>
    <w:rsid w:val="0175B091"/>
    <w:rsid w:val="017935A1"/>
    <w:rsid w:val="017A3F94"/>
    <w:rsid w:val="0193A8F2"/>
    <w:rsid w:val="019F91C0"/>
    <w:rsid w:val="01BB18EE"/>
    <w:rsid w:val="01BFF397"/>
    <w:rsid w:val="01C1F98A"/>
    <w:rsid w:val="01D38A6D"/>
    <w:rsid w:val="01ED9E81"/>
    <w:rsid w:val="01F8EF24"/>
    <w:rsid w:val="020E1765"/>
    <w:rsid w:val="020EA057"/>
    <w:rsid w:val="0210F560"/>
    <w:rsid w:val="02128091"/>
    <w:rsid w:val="021ADF81"/>
    <w:rsid w:val="02217EB0"/>
    <w:rsid w:val="022A5079"/>
    <w:rsid w:val="0233504A"/>
    <w:rsid w:val="023A65E6"/>
    <w:rsid w:val="0251C189"/>
    <w:rsid w:val="025C4D04"/>
    <w:rsid w:val="026203E5"/>
    <w:rsid w:val="0265567F"/>
    <w:rsid w:val="026ADB13"/>
    <w:rsid w:val="027B4C11"/>
    <w:rsid w:val="028A3FE0"/>
    <w:rsid w:val="028F15EC"/>
    <w:rsid w:val="0296FD44"/>
    <w:rsid w:val="02A49C5E"/>
    <w:rsid w:val="02AB0439"/>
    <w:rsid w:val="02AD8C4B"/>
    <w:rsid w:val="02B6611B"/>
    <w:rsid w:val="02B97010"/>
    <w:rsid w:val="02BBE624"/>
    <w:rsid w:val="02CF3DB6"/>
    <w:rsid w:val="02D146CC"/>
    <w:rsid w:val="02DD017F"/>
    <w:rsid w:val="02E88298"/>
    <w:rsid w:val="02FD17A5"/>
    <w:rsid w:val="0309642B"/>
    <w:rsid w:val="03204B5F"/>
    <w:rsid w:val="0322228A"/>
    <w:rsid w:val="03262FC6"/>
    <w:rsid w:val="0326E8C1"/>
    <w:rsid w:val="03427AB4"/>
    <w:rsid w:val="03468D69"/>
    <w:rsid w:val="03479E22"/>
    <w:rsid w:val="03725373"/>
    <w:rsid w:val="03755ACC"/>
    <w:rsid w:val="038BD701"/>
    <w:rsid w:val="03920092"/>
    <w:rsid w:val="039ACFAF"/>
    <w:rsid w:val="03A761D7"/>
    <w:rsid w:val="03A87317"/>
    <w:rsid w:val="03D187BE"/>
    <w:rsid w:val="03D2AD46"/>
    <w:rsid w:val="03F02DDF"/>
    <w:rsid w:val="03FCA39D"/>
    <w:rsid w:val="041BB08C"/>
    <w:rsid w:val="04270B73"/>
    <w:rsid w:val="04294A76"/>
    <w:rsid w:val="043CC433"/>
    <w:rsid w:val="043ECB4E"/>
    <w:rsid w:val="04415A79"/>
    <w:rsid w:val="0447F9E5"/>
    <w:rsid w:val="04499FE2"/>
    <w:rsid w:val="044A12CC"/>
    <w:rsid w:val="04514C72"/>
    <w:rsid w:val="04654217"/>
    <w:rsid w:val="047C00E5"/>
    <w:rsid w:val="0483943C"/>
    <w:rsid w:val="048463D7"/>
    <w:rsid w:val="04871D59"/>
    <w:rsid w:val="04875D2A"/>
    <w:rsid w:val="048A346D"/>
    <w:rsid w:val="04A61500"/>
    <w:rsid w:val="04A7A0A2"/>
    <w:rsid w:val="04AD2421"/>
    <w:rsid w:val="04ADF59E"/>
    <w:rsid w:val="04B0FA71"/>
    <w:rsid w:val="04B631ED"/>
    <w:rsid w:val="04BE06F7"/>
    <w:rsid w:val="04CE1B91"/>
    <w:rsid w:val="04DBFE07"/>
    <w:rsid w:val="04DEFBD3"/>
    <w:rsid w:val="04E2FD36"/>
    <w:rsid w:val="04E3937E"/>
    <w:rsid w:val="04ECA543"/>
    <w:rsid w:val="04ED1DAA"/>
    <w:rsid w:val="04F2BDE6"/>
    <w:rsid w:val="04FC98E6"/>
    <w:rsid w:val="0519FAD8"/>
    <w:rsid w:val="051A5B9E"/>
    <w:rsid w:val="0546578C"/>
    <w:rsid w:val="0551C4F2"/>
    <w:rsid w:val="055727B8"/>
    <w:rsid w:val="0558570A"/>
    <w:rsid w:val="05796244"/>
    <w:rsid w:val="0586A117"/>
    <w:rsid w:val="058BD893"/>
    <w:rsid w:val="059479E2"/>
    <w:rsid w:val="05B12668"/>
    <w:rsid w:val="05BA2107"/>
    <w:rsid w:val="05BF58FC"/>
    <w:rsid w:val="05CB323F"/>
    <w:rsid w:val="05CFA6B5"/>
    <w:rsid w:val="05D9721D"/>
    <w:rsid w:val="05E9A390"/>
    <w:rsid w:val="05EEE4DB"/>
    <w:rsid w:val="05FC7E65"/>
    <w:rsid w:val="05FFD382"/>
    <w:rsid w:val="06140929"/>
    <w:rsid w:val="0632BD39"/>
    <w:rsid w:val="06419670"/>
    <w:rsid w:val="0647EAB9"/>
    <w:rsid w:val="064B3E9F"/>
    <w:rsid w:val="064DCF01"/>
    <w:rsid w:val="0662A0EE"/>
    <w:rsid w:val="066D0B28"/>
    <w:rsid w:val="0674FA4F"/>
    <w:rsid w:val="06767BA3"/>
    <w:rsid w:val="067A2C93"/>
    <w:rsid w:val="06941F47"/>
    <w:rsid w:val="06A6E95C"/>
    <w:rsid w:val="06A7EA23"/>
    <w:rsid w:val="06ACBD2B"/>
    <w:rsid w:val="06B2B0C9"/>
    <w:rsid w:val="06C52623"/>
    <w:rsid w:val="06CFB19F"/>
    <w:rsid w:val="06D29393"/>
    <w:rsid w:val="06DB2E1A"/>
    <w:rsid w:val="06E5B214"/>
    <w:rsid w:val="06E6D5A6"/>
    <w:rsid w:val="06E7D1EE"/>
    <w:rsid w:val="06F1A544"/>
    <w:rsid w:val="06F57D0E"/>
    <w:rsid w:val="0700FBB9"/>
    <w:rsid w:val="0707128B"/>
    <w:rsid w:val="0712CCCB"/>
    <w:rsid w:val="07266FFC"/>
    <w:rsid w:val="072A51AB"/>
    <w:rsid w:val="0742FAF2"/>
    <w:rsid w:val="07460AD3"/>
    <w:rsid w:val="07472300"/>
    <w:rsid w:val="075FBF98"/>
    <w:rsid w:val="07697EF4"/>
    <w:rsid w:val="0769818A"/>
    <w:rsid w:val="07729889"/>
    <w:rsid w:val="07856736"/>
    <w:rsid w:val="0799DADE"/>
    <w:rsid w:val="079AC153"/>
    <w:rsid w:val="07A0C483"/>
    <w:rsid w:val="07A19BEC"/>
    <w:rsid w:val="07C4FA9B"/>
    <w:rsid w:val="07E6A107"/>
    <w:rsid w:val="07E6F196"/>
    <w:rsid w:val="07F1E4A8"/>
    <w:rsid w:val="07F40268"/>
    <w:rsid w:val="07FE014D"/>
    <w:rsid w:val="0815257C"/>
    <w:rsid w:val="081F1C4C"/>
    <w:rsid w:val="0822E9C6"/>
    <w:rsid w:val="0825E1F8"/>
    <w:rsid w:val="082A2953"/>
    <w:rsid w:val="0839ECDC"/>
    <w:rsid w:val="0849E36F"/>
    <w:rsid w:val="084AE103"/>
    <w:rsid w:val="0852195B"/>
    <w:rsid w:val="08623C22"/>
    <w:rsid w:val="087CE502"/>
    <w:rsid w:val="0887A911"/>
    <w:rsid w:val="08883109"/>
    <w:rsid w:val="0889AAFE"/>
    <w:rsid w:val="088F07C8"/>
    <w:rsid w:val="0892D2A6"/>
    <w:rsid w:val="08952005"/>
    <w:rsid w:val="08B35F0F"/>
    <w:rsid w:val="08C1D2EB"/>
    <w:rsid w:val="08C47067"/>
    <w:rsid w:val="08CA954F"/>
    <w:rsid w:val="08E70C9D"/>
    <w:rsid w:val="08F0A7E4"/>
    <w:rsid w:val="0903FD9D"/>
    <w:rsid w:val="0907241F"/>
    <w:rsid w:val="0921719B"/>
    <w:rsid w:val="09320D15"/>
    <w:rsid w:val="0939E6DA"/>
    <w:rsid w:val="0943FB4A"/>
    <w:rsid w:val="09454275"/>
    <w:rsid w:val="09672966"/>
    <w:rsid w:val="09827155"/>
    <w:rsid w:val="098AF099"/>
    <w:rsid w:val="098F007A"/>
    <w:rsid w:val="099FF5C6"/>
    <w:rsid w:val="09A02040"/>
    <w:rsid w:val="09A0A53A"/>
    <w:rsid w:val="09A1ED47"/>
    <w:rsid w:val="09A6961C"/>
    <w:rsid w:val="09AFCA90"/>
    <w:rsid w:val="09BC9DA4"/>
    <w:rsid w:val="09BDFE7F"/>
    <w:rsid w:val="09C3C3E6"/>
    <w:rsid w:val="09E4299E"/>
    <w:rsid w:val="09EF37A3"/>
    <w:rsid w:val="0A097E03"/>
    <w:rsid w:val="0A1399C5"/>
    <w:rsid w:val="0A1F9BC9"/>
    <w:rsid w:val="0A2D52E9"/>
    <w:rsid w:val="0A3EFBCC"/>
    <w:rsid w:val="0A405C08"/>
    <w:rsid w:val="0A42C492"/>
    <w:rsid w:val="0A59D55C"/>
    <w:rsid w:val="0A5B8A70"/>
    <w:rsid w:val="0A6CFE7A"/>
    <w:rsid w:val="0A7C1ECC"/>
    <w:rsid w:val="0A8417CB"/>
    <w:rsid w:val="0AA7DDD3"/>
    <w:rsid w:val="0AABE82A"/>
    <w:rsid w:val="0ABAB536"/>
    <w:rsid w:val="0ACD8768"/>
    <w:rsid w:val="0AD572D6"/>
    <w:rsid w:val="0ADCC948"/>
    <w:rsid w:val="0AE56898"/>
    <w:rsid w:val="0AEE4522"/>
    <w:rsid w:val="0AEF9AB0"/>
    <w:rsid w:val="0AF0AEBD"/>
    <w:rsid w:val="0B0C6117"/>
    <w:rsid w:val="0B11D720"/>
    <w:rsid w:val="0B224E1E"/>
    <w:rsid w:val="0B2A5C4F"/>
    <w:rsid w:val="0B302471"/>
    <w:rsid w:val="0B40D0D2"/>
    <w:rsid w:val="0B50721E"/>
    <w:rsid w:val="0B674904"/>
    <w:rsid w:val="0B6EF024"/>
    <w:rsid w:val="0B7E34B2"/>
    <w:rsid w:val="0B96B159"/>
    <w:rsid w:val="0B974048"/>
    <w:rsid w:val="0B98D837"/>
    <w:rsid w:val="0B9C2FA0"/>
    <w:rsid w:val="0BA43BEF"/>
    <w:rsid w:val="0BA7D9EC"/>
    <w:rsid w:val="0BBA201E"/>
    <w:rsid w:val="0BBC2D8D"/>
    <w:rsid w:val="0BD74FCB"/>
    <w:rsid w:val="0BDE6815"/>
    <w:rsid w:val="0BE838B3"/>
    <w:rsid w:val="0BF2FB6F"/>
    <w:rsid w:val="0C01D512"/>
    <w:rsid w:val="0C04E273"/>
    <w:rsid w:val="0C05EFBA"/>
    <w:rsid w:val="0C070DF7"/>
    <w:rsid w:val="0C09AD44"/>
    <w:rsid w:val="0C1D1D40"/>
    <w:rsid w:val="0C2A37CC"/>
    <w:rsid w:val="0C2F5FAF"/>
    <w:rsid w:val="0C326C2F"/>
    <w:rsid w:val="0C50215C"/>
    <w:rsid w:val="0C595491"/>
    <w:rsid w:val="0C64B009"/>
    <w:rsid w:val="0C6BE84D"/>
    <w:rsid w:val="0C72CAE5"/>
    <w:rsid w:val="0C7C99A0"/>
    <w:rsid w:val="0C80B9CC"/>
    <w:rsid w:val="0C80E237"/>
    <w:rsid w:val="0C8CF1FB"/>
    <w:rsid w:val="0C8E1D1B"/>
    <w:rsid w:val="0C9E1CE6"/>
    <w:rsid w:val="0CAA892C"/>
    <w:rsid w:val="0CD241A6"/>
    <w:rsid w:val="0CE546A3"/>
    <w:rsid w:val="0CF3A004"/>
    <w:rsid w:val="0D01C80C"/>
    <w:rsid w:val="0D1023F4"/>
    <w:rsid w:val="0D1A9208"/>
    <w:rsid w:val="0D22ED07"/>
    <w:rsid w:val="0D2379AE"/>
    <w:rsid w:val="0D2506D9"/>
    <w:rsid w:val="0D2DAD64"/>
    <w:rsid w:val="0D30EED6"/>
    <w:rsid w:val="0D31DCC4"/>
    <w:rsid w:val="0D344B3E"/>
    <w:rsid w:val="0D38D79F"/>
    <w:rsid w:val="0D3BA6FB"/>
    <w:rsid w:val="0D3F6873"/>
    <w:rsid w:val="0D4810E0"/>
    <w:rsid w:val="0D4DA0FF"/>
    <w:rsid w:val="0D593B7E"/>
    <w:rsid w:val="0D5E4510"/>
    <w:rsid w:val="0D62B1DC"/>
    <w:rsid w:val="0D66BD15"/>
    <w:rsid w:val="0D6E8E50"/>
    <w:rsid w:val="0D785929"/>
    <w:rsid w:val="0DA716C8"/>
    <w:rsid w:val="0DBE4A3F"/>
    <w:rsid w:val="0DD0A89A"/>
    <w:rsid w:val="0DEE994B"/>
    <w:rsid w:val="0DEEA009"/>
    <w:rsid w:val="0DFC19A5"/>
    <w:rsid w:val="0DFDC368"/>
    <w:rsid w:val="0E0D9D21"/>
    <w:rsid w:val="0E14819A"/>
    <w:rsid w:val="0E1D33C5"/>
    <w:rsid w:val="0E211FFC"/>
    <w:rsid w:val="0E240865"/>
    <w:rsid w:val="0E2878D8"/>
    <w:rsid w:val="0E2FCBEB"/>
    <w:rsid w:val="0E4D9769"/>
    <w:rsid w:val="0E56C656"/>
    <w:rsid w:val="0E5784D5"/>
    <w:rsid w:val="0E579128"/>
    <w:rsid w:val="0E5A739E"/>
    <w:rsid w:val="0E64646F"/>
    <w:rsid w:val="0E701A5F"/>
    <w:rsid w:val="0E70CD84"/>
    <w:rsid w:val="0E716012"/>
    <w:rsid w:val="0E72EEBB"/>
    <w:rsid w:val="0E7679C6"/>
    <w:rsid w:val="0E847902"/>
    <w:rsid w:val="0E850518"/>
    <w:rsid w:val="0E897045"/>
    <w:rsid w:val="0E9BDE13"/>
    <w:rsid w:val="0EA38608"/>
    <w:rsid w:val="0EAC48C2"/>
    <w:rsid w:val="0EADBB9C"/>
    <w:rsid w:val="0EAF8357"/>
    <w:rsid w:val="0EB07A98"/>
    <w:rsid w:val="0EC857D0"/>
    <w:rsid w:val="0ED0BD51"/>
    <w:rsid w:val="0EE51801"/>
    <w:rsid w:val="0F07C860"/>
    <w:rsid w:val="0F134D64"/>
    <w:rsid w:val="0F1DD2E6"/>
    <w:rsid w:val="0F2A4910"/>
    <w:rsid w:val="0F3C1419"/>
    <w:rsid w:val="0F4A89D1"/>
    <w:rsid w:val="0F514AE1"/>
    <w:rsid w:val="0F566BDF"/>
    <w:rsid w:val="0F5F7B39"/>
    <w:rsid w:val="0F654502"/>
    <w:rsid w:val="0F6DA9E9"/>
    <w:rsid w:val="0F6DEA74"/>
    <w:rsid w:val="0F6E7AF0"/>
    <w:rsid w:val="0F70E809"/>
    <w:rsid w:val="0F71FE8D"/>
    <w:rsid w:val="0F728620"/>
    <w:rsid w:val="0F9D61DE"/>
    <w:rsid w:val="0F9D8C71"/>
    <w:rsid w:val="0F9E1029"/>
    <w:rsid w:val="0FA6F098"/>
    <w:rsid w:val="0FC404A6"/>
    <w:rsid w:val="0FC4694F"/>
    <w:rsid w:val="0FCB6F95"/>
    <w:rsid w:val="0FE6D9B3"/>
    <w:rsid w:val="0FEB9FD0"/>
    <w:rsid w:val="0FEE1749"/>
    <w:rsid w:val="1001E535"/>
    <w:rsid w:val="102586B9"/>
    <w:rsid w:val="1029E170"/>
    <w:rsid w:val="102DBC5C"/>
    <w:rsid w:val="103EDA88"/>
    <w:rsid w:val="10401003"/>
    <w:rsid w:val="10416BF1"/>
    <w:rsid w:val="1041E0C5"/>
    <w:rsid w:val="1044EA11"/>
    <w:rsid w:val="104D9C20"/>
    <w:rsid w:val="10561954"/>
    <w:rsid w:val="105D7A53"/>
    <w:rsid w:val="10634CA9"/>
    <w:rsid w:val="10639F60"/>
    <w:rsid w:val="1068C457"/>
    <w:rsid w:val="107B628B"/>
    <w:rsid w:val="107D43F2"/>
    <w:rsid w:val="107F6518"/>
    <w:rsid w:val="108447BC"/>
    <w:rsid w:val="10926C3A"/>
    <w:rsid w:val="109755FF"/>
    <w:rsid w:val="1099FC4A"/>
    <w:rsid w:val="10A70B64"/>
    <w:rsid w:val="10AB906B"/>
    <w:rsid w:val="10B7CB69"/>
    <w:rsid w:val="10C16612"/>
    <w:rsid w:val="10D0C529"/>
    <w:rsid w:val="10E0953A"/>
    <w:rsid w:val="10E1FDC4"/>
    <w:rsid w:val="10EBABF6"/>
    <w:rsid w:val="10EDCB99"/>
    <w:rsid w:val="1100AEF8"/>
    <w:rsid w:val="1113AE0F"/>
    <w:rsid w:val="112EF5F4"/>
    <w:rsid w:val="11358569"/>
    <w:rsid w:val="114DB32F"/>
    <w:rsid w:val="115039F7"/>
    <w:rsid w:val="1155658F"/>
    <w:rsid w:val="115F9748"/>
    <w:rsid w:val="117CF1AE"/>
    <w:rsid w:val="1183EF13"/>
    <w:rsid w:val="11919F95"/>
    <w:rsid w:val="1193F86F"/>
    <w:rsid w:val="11947AB8"/>
    <w:rsid w:val="1196CF63"/>
    <w:rsid w:val="119D080E"/>
    <w:rsid w:val="11A7B97D"/>
    <w:rsid w:val="11B9E182"/>
    <w:rsid w:val="11BDECA4"/>
    <w:rsid w:val="11C87504"/>
    <w:rsid w:val="11D0224B"/>
    <w:rsid w:val="11EF32F6"/>
    <w:rsid w:val="11F0D318"/>
    <w:rsid w:val="11F88EBA"/>
    <w:rsid w:val="1208721F"/>
    <w:rsid w:val="121C7726"/>
    <w:rsid w:val="122471A1"/>
    <w:rsid w:val="1224782B"/>
    <w:rsid w:val="1244615B"/>
    <w:rsid w:val="1251C9FC"/>
    <w:rsid w:val="12644B8F"/>
    <w:rsid w:val="1269C949"/>
    <w:rsid w:val="126B6C19"/>
    <w:rsid w:val="12771F9D"/>
    <w:rsid w:val="12A4D4B1"/>
    <w:rsid w:val="12ACDA7D"/>
    <w:rsid w:val="12AD9EA4"/>
    <w:rsid w:val="12AF4F98"/>
    <w:rsid w:val="12AFC483"/>
    <w:rsid w:val="12B09D39"/>
    <w:rsid w:val="12B7AD05"/>
    <w:rsid w:val="12BF57B5"/>
    <w:rsid w:val="12C741D5"/>
    <w:rsid w:val="12D60AF9"/>
    <w:rsid w:val="12F7ACEB"/>
    <w:rsid w:val="12F9D609"/>
    <w:rsid w:val="130B46FA"/>
    <w:rsid w:val="1310BCD0"/>
    <w:rsid w:val="13209923"/>
    <w:rsid w:val="1322BD92"/>
    <w:rsid w:val="1346FF38"/>
    <w:rsid w:val="136415DD"/>
    <w:rsid w:val="13697061"/>
    <w:rsid w:val="136F3BEB"/>
    <w:rsid w:val="13714AFF"/>
    <w:rsid w:val="1382C073"/>
    <w:rsid w:val="138D51C5"/>
    <w:rsid w:val="138DA4E4"/>
    <w:rsid w:val="13928539"/>
    <w:rsid w:val="13AB9685"/>
    <w:rsid w:val="13CE5D0E"/>
    <w:rsid w:val="13D4DFB7"/>
    <w:rsid w:val="13E89EA8"/>
    <w:rsid w:val="13F56FE1"/>
    <w:rsid w:val="13F92514"/>
    <w:rsid w:val="13FD35DE"/>
    <w:rsid w:val="14002E7F"/>
    <w:rsid w:val="140D6191"/>
    <w:rsid w:val="140EBEF3"/>
    <w:rsid w:val="140FFF8C"/>
    <w:rsid w:val="1412F5A3"/>
    <w:rsid w:val="14169A73"/>
    <w:rsid w:val="1423AC0E"/>
    <w:rsid w:val="1424AF7C"/>
    <w:rsid w:val="14271C1E"/>
    <w:rsid w:val="142C52CC"/>
    <w:rsid w:val="14382A85"/>
    <w:rsid w:val="14528757"/>
    <w:rsid w:val="1454E492"/>
    <w:rsid w:val="1464C9C0"/>
    <w:rsid w:val="1480C088"/>
    <w:rsid w:val="148FCBAE"/>
    <w:rsid w:val="1499C45B"/>
    <w:rsid w:val="14A6477C"/>
    <w:rsid w:val="14BD8AAB"/>
    <w:rsid w:val="14C8216E"/>
    <w:rsid w:val="14CD399E"/>
    <w:rsid w:val="14E4E13F"/>
    <w:rsid w:val="14EA2465"/>
    <w:rsid w:val="14EFA3D5"/>
    <w:rsid w:val="14F24300"/>
    <w:rsid w:val="14F8543D"/>
    <w:rsid w:val="14F8CFA3"/>
    <w:rsid w:val="150AAE7C"/>
    <w:rsid w:val="150BFE0C"/>
    <w:rsid w:val="15116290"/>
    <w:rsid w:val="1511F285"/>
    <w:rsid w:val="1521D0A2"/>
    <w:rsid w:val="15256B60"/>
    <w:rsid w:val="1525A176"/>
    <w:rsid w:val="153684B2"/>
    <w:rsid w:val="15398C1C"/>
    <w:rsid w:val="1547A57D"/>
    <w:rsid w:val="15497E04"/>
    <w:rsid w:val="1549BD0C"/>
    <w:rsid w:val="1549DBF6"/>
    <w:rsid w:val="1556CD4D"/>
    <w:rsid w:val="155E98FC"/>
    <w:rsid w:val="155EB7C5"/>
    <w:rsid w:val="156E4BF6"/>
    <w:rsid w:val="1577979A"/>
    <w:rsid w:val="157A5EBA"/>
    <w:rsid w:val="159128D2"/>
    <w:rsid w:val="1594004B"/>
    <w:rsid w:val="1599E853"/>
    <w:rsid w:val="159CC97C"/>
    <w:rsid w:val="15A5BFED"/>
    <w:rsid w:val="15A83F2B"/>
    <w:rsid w:val="15AA401F"/>
    <w:rsid w:val="15AD94CC"/>
    <w:rsid w:val="15B4F329"/>
    <w:rsid w:val="15B64427"/>
    <w:rsid w:val="15BA939E"/>
    <w:rsid w:val="15C685B4"/>
    <w:rsid w:val="15D97D3A"/>
    <w:rsid w:val="15DDDEA5"/>
    <w:rsid w:val="15FC65CB"/>
    <w:rsid w:val="1615E03C"/>
    <w:rsid w:val="161AE631"/>
    <w:rsid w:val="16214B69"/>
    <w:rsid w:val="16237E2B"/>
    <w:rsid w:val="1628C63D"/>
    <w:rsid w:val="16299235"/>
    <w:rsid w:val="162CB0B8"/>
    <w:rsid w:val="163D918B"/>
    <w:rsid w:val="165DBE39"/>
    <w:rsid w:val="1668F953"/>
    <w:rsid w:val="166E51A6"/>
    <w:rsid w:val="1681181B"/>
    <w:rsid w:val="16846096"/>
    <w:rsid w:val="1685F5D0"/>
    <w:rsid w:val="1686851E"/>
    <w:rsid w:val="16B0D7A6"/>
    <w:rsid w:val="16BF19B5"/>
    <w:rsid w:val="16C5542D"/>
    <w:rsid w:val="16DDCE1F"/>
    <w:rsid w:val="16E6C771"/>
    <w:rsid w:val="16EB297C"/>
    <w:rsid w:val="16EF8525"/>
    <w:rsid w:val="170B2587"/>
    <w:rsid w:val="171E0268"/>
    <w:rsid w:val="173506B9"/>
    <w:rsid w:val="17528363"/>
    <w:rsid w:val="176B39AF"/>
    <w:rsid w:val="17771A55"/>
    <w:rsid w:val="1788B7B5"/>
    <w:rsid w:val="1792775F"/>
    <w:rsid w:val="1795F166"/>
    <w:rsid w:val="179B50C5"/>
    <w:rsid w:val="179C4C17"/>
    <w:rsid w:val="17A31D8F"/>
    <w:rsid w:val="17A4AF80"/>
    <w:rsid w:val="17AA0CB0"/>
    <w:rsid w:val="17AEB391"/>
    <w:rsid w:val="17B56A66"/>
    <w:rsid w:val="17D84259"/>
    <w:rsid w:val="17D877F6"/>
    <w:rsid w:val="17F14A2D"/>
    <w:rsid w:val="17F226A4"/>
    <w:rsid w:val="17F8B172"/>
    <w:rsid w:val="17FE5957"/>
    <w:rsid w:val="1815EA57"/>
    <w:rsid w:val="1819AAAF"/>
    <w:rsid w:val="181A2878"/>
    <w:rsid w:val="183C864B"/>
    <w:rsid w:val="1846A70E"/>
    <w:rsid w:val="1860BBFD"/>
    <w:rsid w:val="189AF963"/>
    <w:rsid w:val="189E65BC"/>
    <w:rsid w:val="18A2DC40"/>
    <w:rsid w:val="18A30572"/>
    <w:rsid w:val="18A5FB49"/>
    <w:rsid w:val="18AC9D9F"/>
    <w:rsid w:val="18AD6451"/>
    <w:rsid w:val="18AE5C9A"/>
    <w:rsid w:val="18BFBACA"/>
    <w:rsid w:val="18C6620F"/>
    <w:rsid w:val="18DC2887"/>
    <w:rsid w:val="18E29761"/>
    <w:rsid w:val="19062D72"/>
    <w:rsid w:val="191C57DE"/>
    <w:rsid w:val="191CC97B"/>
    <w:rsid w:val="191DD852"/>
    <w:rsid w:val="192114AE"/>
    <w:rsid w:val="1926D93D"/>
    <w:rsid w:val="19276937"/>
    <w:rsid w:val="192848DC"/>
    <w:rsid w:val="192FA3E1"/>
    <w:rsid w:val="1930DB8D"/>
    <w:rsid w:val="193449EB"/>
    <w:rsid w:val="1937F06E"/>
    <w:rsid w:val="19431132"/>
    <w:rsid w:val="194A992A"/>
    <w:rsid w:val="194DF714"/>
    <w:rsid w:val="194EDA49"/>
    <w:rsid w:val="1955924E"/>
    <w:rsid w:val="1956A948"/>
    <w:rsid w:val="1962D8E2"/>
    <w:rsid w:val="1976238D"/>
    <w:rsid w:val="1980132C"/>
    <w:rsid w:val="198A57F8"/>
    <w:rsid w:val="19B3098A"/>
    <w:rsid w:val="19BC95E3"/>
    <w:rsid w:val="19C8046A"/>
    <w:rsid w:val="19D743AA"/>
    <w:rsid w:val="19E4F5D2"/>
    <w:rsid w:val="19E7F40A"/>
    <w:rsid w:val="19EB3718"/>
    <w:rsid w:val="19F2F046"/>
    <w:rsid w:val="19F73CFC"/>
    <w:rsid w:val="1A0267EE"/>
    <w:rsid w:val="1A0FE89A"/>
    <w:rsid w:val="1A1C142D"/>
    <w:rsid w:val="1A1FF4D1"/>
    <w:rsid w:val="1A29A6FA"/>
    <w:rsid w:val="1A2B74D4"/>
    <w:rsid w:val="1A3751A5"/>
    <w:rsid w:val="1A43DC96"/>
    <w:rsid w:val="1A561A85"/>
    <w:rsid w:val="1A5677B8"/>
    <w:rsid w:val="1A6F9123"/>
    <w:rsid w:val="1A7ABF49"/>
    <w:rsid w:val="1A82E475"/>
    <w:rsid w:val="1A9A9919"/>
    <w:rsid w:val="1A9CF7B2"/>
    <w:rsid w:val="1AB05C45"/>
    <w:rsid w:val="1AB20243"/>
    <w:rsid w:val="1AC262B8"/>
    <w:rsid w:val="1ACF7EB7"/>
    <w:rsid w:val="1AD60BF4"/>
    <w:rsid w:val="1AE7977B"/>
    <w:rsid w:val="1AF96E58"/>
    <w:rsid w:val="1AFD4E19"/>
    <w:rsid w:val="1AFFE6A2"/>
    <w:rsid w:val="1B0C1065"/>
    <w:rsid w:val="1B1AADD4"/>
    <w:rsid w:val="1B29FBE0"/>
    <w:rsid w:val="1B32770C"/>
    <w:rsid w:val="1B4C3527"/>
    <w:rsid w:val="1B509256"/>
    <w:rsid w:val="1B5ADF3E"/>
    <w:rsid w:val="1B6F9289"/>
    <w:rsid w:val="1B7232C1"/>
    <w:rsid w:val="1B975046"/>
    <w:rsid w:val="1B9B68E4"/>
    <w:rsid w:val="1BB2E9C4"/>
    <w:rsid w:val="1BB61913"/>
    <w:rsid w:val="1BC9DEEE"/>
    <w:rsid w:val="1BCB640C"/>
    <w:rsid w:val="1BD4AB5C"/>
    <w:rsid w:val="1BD70C42"/>
    <w:rsid w:val="1BDAAA68"/>
    <w:rsid w:val="1BE1095B"/>
    <w:rsid w:val="1BFD0218"/>
    <w:rsid w:val="1C02672A"/>
    <w:rsid w:val="1C04E041"/>
    <w:rsid w:val="1C078268"/>
    <w:rsid w:val="1C07E555"/>
    <w:rsid w:val="1C10957C"/>
    <w:rsid w:val="1C12F932"/>
    <w:rsid w:val="1C1CF4CD"/>
    <w:rsid w:val="1C289089"/>
    <w:rsid w:val="1C493B80"/>
    <w:rsid w:val="1C4F76C0"/>
    <w:rsid w:val="1C5B3822"/>
    <w:rsid w:val="1C66EEDA"/>
    <w:rsid w:val="1C67F66F"/>
    <w:rsid w:val="1C7342D4"/>
    <w:rsid w:val="1C743401"/>
    <w:rsid w:val="1C754E84"/>
    <w:rsid w:val="1C9C9652"/>
    <w:rsid w:val="1C9CBABE"/>
    <w:rsid w:val="1CAC61B3"/>
    <w:rsid w:val="1CB50B0A"/>
    <w:rsid w:val="1CBA0039"/>
    <w:rsid w:val="1CBA1F8E"/>
    <w:rsid w:val="1CBC5912"/>
    <w:rsid w:val="1CC90B76"/>
    <w:rsid w:val="1CF6F097"/>
    <w:rsid w:val="1CFB0AA5"/>
    <w:rsid w:val="1D05B769"/>
    <w:rsid w:val="1D0DEE2C"/>
    <w:rsid w:val="1D10B0D1"/>
    <w:rsid w:val="1D176326"/>
    <w:rsid w:val="1D1D76DA"/>
    <w:rsid w:val="1D21CC10"/>
    <w:rsid w:val="1D2371CA"/>
    <w:rsid w:val="1D25B0B3"/>
    <w:rsid w:val="1D264157"/>
    <w:rsid w:val="1D322485"/>
    <w:rsid w:val="1D32E242"/>
    <w:rsid w:val="1D360FF7"/>
    <w:rsid w:val="1D3E44A6"/>
    <w:rsid w:val="1D3EFCCF"/>
    <w:rsid w:val="1D42D54D"/>
    <w:rsid w:val="1D434EAE"/>
    <w:rsid w:val="1D469847"/>
    <w:rsid w:val="1D4ABC87"/>
    <w:rsid w:val="1D4BD8CC"/>
    <w:rsid w:val="1D5A7816"/>
    <w:rsid w:val="1D60890D"/>
    <w:rsid w:val="1D84F298"/>
    <w:rsid w:val="1D8E1D4C"/>
    <w:rsid w:val="1DAC3472"/>
    <w:rsid w:val="1DB1FD34"/>
    <w:rsid w:val="1DB62E42"/>
    <w:rsid w:val="1DC027F2"/>
    <w:rsid w:val="1DC0B053"/>
    <w:rsid w:val="1DC2BC5F"/>
    <w:rsid w:val="1DCA47E1"/>
    <w:rsid w:val="1DEA1B73"/>
    <w:rsid w:val="1DF07A50"/>
    <w:rsid w:val="1E0602D6"/>
    <w:rsid w:val="1E1ACA21"/>
    <w:rsid w:val="1E1DC1A2"/>
    <w:rsid w:val="1E1F8318"/>
    <w:rsid w:val="1E3667FC"/>
    <w:rsid w:val="1E39FC0A"/>
    <w:rsid w:val="1E4DCA27"/>
    <w:rsid w:val="1E981DA2"/>
    <w:rsid w:val="1EA4BD2C"/>
    <w:rsid w:val="1EAA3A03"/>
    <w:rsid w:val="1EAB6137"/>
    <w:rsid w:val="1EB2B3D5"/>
    <w:rsid w:val="1EB7E285"/>
    <w:rsid w:val="1EDCAE59"/>
    <w:rsid w:val="1EE233E1"/>
    <w:rsid w:val="1F076C42"/>
    <w:rsid w:val="1F08D184"/>
    <w:rsid w:val="1F0D9A0B"/>
    <w:rsid w:val="1F2B075E"/>
    <w:rsid w:val="1F4A4A79"/>
    <w:rsid w:val="1F50A46F"/>
    <w:rsid w:val="1F50D048"/>
    <w:rsid w:val="1F513BCC"/>
    <w:rsid w:val="1F61C077"/>
    <w:rsid w:val="1F624448"/>
    <w:rsid w:val="1F7167F1"/>
    <w:rsid w:val="1F804854"/>
    <w:rsid w:val="1FA6A0CD"/>
    <w:rsid w:val="1FA75603"/>
    <w:rsid w:val="1FACB52A"/>
    <w:rsid w:val="1FB0D314"/>
    <w:rsid w:val="1FC381CE"/>
    <w:rsid w:val="1FC658FB"/>
    <w:rsid w:val="1FCB2967"/>
    <w:rsid w:val="1FD20221"/>
    <w:rsid w:val="1FD3B698"/>
    <w:rsid w:val="1FF17C30"/>
    <w:rsid w:val="200FE4BC"/>
    <w:rsid w:val="201045E9"/>
    <w:rsid w:val="20170C6B"/>
    <w:rsid w:val="20265734"/>
    <w:rsid w:val="20312447"/>
    <w:rsid w:val="2033E6DE"/>
    <w:rsid w:val="20415932"/>
    <w:rsid w:val="20436A55"/>
    <w:rsid w:val="204A2F04"/>
    <w:rsid w:val="205A8CBB"/>
    <w:rsid w:val="20638BAF"/>
    <w:rsid w:val="206CD7C0"/>
    <w:rsid w:val="206E6348"/>
    <w:rsid w:val="206F65A3"/>
    <w:rsid w:val="2078F522"/>
    <w:rsid w:val="208A57BA"/>
    <w:rsid w:val="208B756A"/>
    <w:rsid w:val="20A9C901"/>
    <w:rsid w:val="20BB34C8"/>
    <w:rsid w:val="20DC4FCE"/>
    <w:rsid w:val="20F02F8B"/>
    <w:rsid w:val="21086B67"/>
    <w:rsid w:val="210A5EDE"/>
    <w:rsid w:val="21277F5B"/>
    <w:rsid w:val="213146EE"/>
    <w:rsid w:val="2133D060"/>
    <w:rsid w:val="213FE2C8"/>
    <w:rsid w:val="2145A185"/>
    <w:rsid w:val="21569CA0"/>
    <w:rsid w:val="215749CA"/>
    <w:rsid w:val="21629DBD"/>
    <w:rsid w:val="21705F41"/>
    <w:rsid w:val="2176D6C7"/>
    <w:rsid w:val="217F3A5C"/>
    <w:rsid w:val="219D4765"/>
    <w:rsid w:val="219F11FF"/>
    <w:rsid w:val="21A3A293"/>
    <w:rsid w:val="21B5A286"/>
    <w:rsid w:val="21B79C74"/>
    <w:rsid w:val="21C90D1E"/>
    <w:rsid w:val="21CD94FE"/>
    <w:rsid w:val="21D35426"/>
    <w:rsid w:val="21DCC3F4"/>
    <w:rsid w:val="21DFC28B"/>
    <w:rsid w:val="21F6271D"/>
    <w:rsid w:val="22065E35"/>
    <w:rsid w:val="220BE58D"/>
    <w:rsid w:val="2210A506"/>
    <w:rsid w:val="222C20CC"/>
    <w:rsid w:val="223F9E11"/>
    <w:rsid w:val="224F0639"/>
    <w:rsid w:val="22580320"/>
    <w:rsid w:val="225D94D1"/>
    <w:rsid w:val="226CCEC2"/>
    <w:rsid w:val="22742DFC"/>
    <w:rsid w:val="2280A427"/>
    <w:rsid w:val="2285F836"/>
    <w:rsid w:val="2290A15C"/>
    <w:rsid w:val="2299A93D"/>
    <w:rsid w:val="22A2DEC9"/>
    <w:rsid w:val="22A33E9C"/>
    <w:rsid w:val="22B59BC2"/>
    <w:rsid w:val="22B86176"/>
    <w:rsid w:val="22B9AF6E"/>
    <w:rsid w:val="22C792A3"/>
    <w:rsid w:val="22C98B05"/>
    <w:rsid w:val="22E58689"/>
    <w:rsid w:val="22E89430"/>
    <w:rsid w:val="22F09395"/>
    <w:rsid w:val="22F1DCD7"/>
    <w:rsid w:val="22F257F1"/>
    <w:rsid w:val="22F42FE8"/>
    <w:rsid w:val="22FF2222"/>
    <w:rsid w:val="230551C9"/>
    <w:rsid w:val="230F8738"/>
    <w:rsid w:val="231C1BC0"/>
    <w:rsid w:val="23275FEC"/>
    <w:rsid w:val="2328B1A4"/>
    <w:rsid w:val="23432AB3"/>
    <w:rsid w:val="2352C3F0"/>
    <w:rsid w:val="236062CB"/>
    <w:rsid w:val="236877DD"/>
    <w:rsid w:val="236F615F"/>
    <w:rsid w:val="236FEBA8"/>
    <w:rsid w:val="2385BDF1"/>
    <w:rsid w:val="2389A16B"/>
    <w:rsid w:val="238D85D1"/>
    <w:rsid w:val="2398A52E"/>
    <w:rsid w:val="23B1A519"/>
    <w:rsid w:val="23B487D1"/>
    <w:rsid w:val="23CED170"/>
    <w:rsid w:val="23DCF75F"/>
    <w:rsid w:val="23E1D506"/>
    <w:rsid w:val="23E3BD88"/>
    <w:rsid w:val="23ED95FD"/>
    <w:rsid w:val="23F4DF7B"/>
    <w:rsid w:val="23FE86A7"/>
    <w:rsid w:val="240133FE"/>
    <w:rsid w:val="242935C4"/>
    <w:rsid w:val="242D02C0"/>
    <w:rsid w:val="2434A936"/>
    <w:rsid w:val="2443FDE1"/>
    <w:rsid w:val="24453321"/>
    <w:rsid w:val="2445C4E4"/>
    <w:rsid w:val="244D4A73"/>
    <w:rsid w:val="24521B7A"/>
    <w:rsid w:val="2454D690"/>
    <w:rsid w:val="2459197F"/>
    <w:rsid w:val="2487F177"/>
    <w:rsid w:val="249E2BC6"/>
    <w:rsid w:val="249F7E60"/>
    <w:rsid w:val="24BD0199"/>
    <w:rsid w:val="24BD09D8"/>
    <w:rsid w:val="24C7EAD8"/>
    <w:rsid w:val="24D9885F"/>
    <w:rsid w:val="24EB8E4C"/>
    <w:rsid w:val="24FD19FC"/>
    <w:rsid w:val="2502684F"/>
    <w:rsid w:val="2518E2AC"/>
    <w:rsid w:val="2519DE81"/>
    <w:rsid w:val="251EE57E"/>
    <w:rsid w:val="253618D5"/>
    <w:rsid w:val="2539B58F"/>
    <w:rsid w:val="253B37AC"/>
    <w:rsid w:val="2542023A"/>
    <w:rsid w:val="254EF0F7"/>
    <w:rsid w:val="25621385"/>
    <w:rsid w:val="2587E606"/>
    <w:rsid w:val="258D4F65"/>
    <w:rsid w:val="258DB985"/>
    <w:rsid w:val="25927D0C"/>
    <w:rsid w:val="25A0DD2B"/>
    <w:rsid w:val="25E36102"/>
    <w:rsid w:val="25F23E21"/>
    <w:rsid w:val="25F65BEE"/>
    <w:rsid w:val="25FB4A8B"/>
    <w:rsid w:val="260322B2"/>
    <w:rsid w:val="260E85F6"/>
    <w:rsid w:val="26147FD2"/>
    <w:rsid w:val="261B65BD"/>
    <w:rsid w:val="262FA0CB"/>
    <w:rsid w:val="26379EE3"/>
    <w:rsid w:val="263BBE99"/>
    <w:rsid w:val="263EA3D3"/>
    <w:rsid w:val="26497983"/>
    <w:rsid w:val="26532497"/>
    <w:rsid w:val="265F545C"/>
    <w:rsid w:val="265FA278"/>
    <w:rsid w:val="26666DF7"/>
    <w:rsid w:val="2674E2F7"/>
    <w:rsid w:val="26810491"/>
    <w:rsid w:val="26898920"/>
    <w:rsid w:val="26A29C2F"/>
    <w:rsid w:val="26A81115"/>
    <w:rsid w:val="26AA3103"/>
    <w:rsid w:val="26ADD2C1"/>
    <w:rsid w:val="26B5BE7D"/>
    <w:rsid w:val="26C25330"/>
    <w:rsid w:val="26F1B86A"/>
    <w:rsid w:val="26F459E0"/>
    <w:rsid w:val="26FDCBC9"/>
    <w:rsid w:val="2704007C"/>
    <w:rsid w:val="2717F7E1"/>
    <w:rsid w:val="271BA2C3"/>
    <w:rsid w:val="2724C045"/>
    <w:rsid w:val="272E3424"/>
    <w:rsid w:val="274219B3"/>
    <w:rsid w:val="2750F2E5"/>
    <w:rsid w:val="275F1D77"/>
    <w:rsid w:val="27636609"/>
    <w:rsid w:val="27734B06"/>
    <w:rsid w:val="277D0B58"/>
    <w:rsid w:val="277E1A67"/>
    <w:rsid w:val="279976F5"/>
    <w:rsid w:val="27A5DD5A"/>
    <w:rsid w:val="27B2554F"/>
    <w:rsid w:val="27CB89AB"/>
    <w:rsid w:val="27D73C2E"/>
    <w:rsid w:val="27E03286"/>
    <w:rsid w:val="27F1425A"/>
    <w:rsid w:val="2807FC36"/>
    <w:rsid w:val="280E8C41"/>
    <w:rsid w:val="280F9A0E"/>
    <w:rsid w:val="282E05B0"/>
    <w:rsid w:val="2830199C"/>
    <w:rsid w:val="28332A24"/>
    <w:rsid w:val="284150C7"/>
    <w:rsid w:val="28556C9B"/>
    <w:rsid w:val="285E7853"/>
    <w:rsid w:val="2882B45D"/>
    <w:rsid w:val="288F02BE"/>
    <w:rsid w:val="28B3B6DD"/>
    <w:rsid w:val="28B4883E"/>
    <w:rsid w:val="28CF549C"/>
    <w:rsid w:val="28D1FDAD"/>
    <w:rsid w:val="28E413C1"/>
    <w:rsid w:val="28EC122B"/>
    <w:rsid w:val="28EC677D"/>
    <w:rsid w:val="28F2756F"/>
    <w:rsid w:val="28F5C95F"/>
    <w:rsid w:val="290682E5"/>
    <w:rsid w:val="29122CFA"/>
    <w:rsid w:val="29225AFB"/>
    <w:rsid w:val="292906A2"/>
    <w:rsid w:val="292EBCE6"/>
    <w:rsid w:val="293DEA44"/>
    <w:rsid w:val="293F4E1A"/>
    <w:rsid w:val="29409112"/>
    <w:rsid w:val="2940A7FA"/>
    <w:rsid w:val="294BAECF"/>
    <w:rsid w:val="29526B60"/>
    <w:rsid w:val="29725998"/>
    <w:rsid w:val="2987DBB1"/>
    <w:rsid w:val="2988F809"/>
    <w:rsid w:val="298C1F54"/>
    <w:rsid w:val="29908698"/>
    <w:rsid w:val="29AA0FBD"/>
    <w:rsid w:val="29B11F28"/>
    <w:rsid w:val="29BC65C8"/>
    <w:rsid w:val="29C0EB74"/>
    <w:rsid w:val="29CE60D5"/>
    <w:rsid w:val="29DE5AFB"/>
    <w:rsid w:val="29EC0897"/>
    <w:rsid w:val="29FF5D56"/>
    <w:rsid w:val="2A058E19"/>
    <w:rsid w:val="2A05DC32"/>
    <w:rsid w:val="2A06EE1B"/>
    <w:rsid w:val="2A314DB9"/>
    <w:rsid w:val="2A3219C1"/>
    <w:rsid w:val="2A618EDE"/>
    <w:rsid w:val="2A61CD43"/>
    <w:rsid w:val="2A62FFBA"/>
    <w:rsid w:val="2A729FE8"/>
    <w:rsid w:val="2A743707"/>
    <w:rsid w:val="2A75922F"/>
    <w:rsid w:val="2A78EF33"/>
    <w:rsid w:val="2A7A66FC"/>
    <w:rsid w:val="2A8B1554"/>
    <w:rsid w:val="2AA663A8"/>
    <w:rsid w:val="2AC9F0A6"/>
    <w:rsid w:val="2ACFD31C"/>
    <w:rsid w:val="2AD30B70"/>
    <w:rsid w:val="2AD3DC82"/>
    <w:rsid w:val="2AD5ABD3"/>
    <w:rsid w:val="2ADB4244"/>
    <w:rsid w:val="2AE1E622"/>
    <w:rsid w:val="2AE21479"/>
    <w:rsid w:val="2AE74E97"/>
    <w:rsid w:val="2AEC7855"/>
    <w:rsid w:val="2AF2B16C"/>
    <w:rsid w:val="2B0DFB5D"/>
    <w:rsid w:val="2B0EAF16"/>
    <w:rsid w:val="2B1ECCCE"/>
    <w:rsid w:val="2B2C1C0C"/>
    <w:rsid w:val="2B4CAA38"/>
    <w:rsid w:val="2B524A8E"/>
    <w:rsid w:val="2B5F2A8A"/>
    <w:rsid w:val="2B6A62E3"/>
    <w:rsid w:val="2B7AA6F4"/>
    <w:rsid w:val="2B83F757"/>
    <w:rsid w:val="2B93B329"/>
    <w:rsid w:val="2B959519"/>
    <w:rsid w:val="2B96A946"/>
    <w:rsid w:val="2B9F3EB9"/>
    <w:rsid w:val="2BC702F2"/>
    <w:rsid w:val="2BDA2190"/>
    <w:rsid w:val="2BF02138"/>
    <w:rsid w:val="2C02510A"/>
    <w:rsid w:val="2C02DF5D"/>
    <w:rsid w:val="2C1685A6"/>
    <w:rsid w:val="2C220538"/>
    <w:rsid w:val="2C2406BB"/>
    <w:rsid w:val="2C4BB980"/>
    <w:rsid w:val="2C4E6FF8"/>
    <w:rsid w:val="2C532335"/>
    <w:rsid w:val="2C5C1D07"/>
    <w:rsid w:val="2C727DEF"/>
    <w:rsid w:val="2C8C293D"/>
    <w:rsid w:val="2C8F085D"/>
    <w:rsid w:val="2CB6B0D1"/>
    <w:rsid w:val="2CC336DB"/>
    <w:rsid w:val="2CC6044A"/>
    <w:rsid w:val="2CC6DFF0"/>
    <w:rsid w:val="2CCF1264"/>
    <w:rsid w:val="2D06092C"/>
    <w:rsid w:val="2D0A5DA9"/>
    <w:rsid w:val="2D0B32AB"/>
    <w:rsid w:val="2D346BCC"/>
    <w:rsid w:val="2D49A126"/>
    <w:rsid w:val="2D4E993C"/>
    <w:rsid w:val="2D55217C"/>
    <w:rsid w:val="2D59B8F2"/>
    <w:rsid w:val="2D5E297B"/>
    <w:rsid w:val="2D6C40A4"/>
    <w:rsid w:val="2D8CA0DA"/>
    <w:rsid w:val="2D8EC88B"/>
    <w:rsid w:val="2D9DB1D7"/>
    <w:rsid w:val="2D9F482F"/>
    <w:rsid w:val="2DB402CE"/>
    <w:rsid w:val="2DB61712"/>
    <w:rsid w:val="2DB742C0"/>
    <w:rsid w:val="2DB8F6A5"/>
    <w:rsid w:val="2DC02260"/>
    <w:rsid w:val="2DD414C2"/>
    <w:rsid w:val="2DD45F05"/>
    <w:rsid w:val="2DEC2932"/>
    <w:rsid w:val="2DF8661F"/>
    <w:rsid w:val="2DF88DE6"/>
    <w:rsid w:val="2DFF6492"/>
    <w:rsid w:val="2E097AD9"/>
    <w:rsid w:val="2E0CD141"/>
    <w:rsid w:val="2E186EF4"/>
    <w:rsid w:val="2E2DE3D4"/>
    <w:rsid w:val="2E3E84F4"/>
    <w:rsid w:val="2E4816B6"/>
    <w:rsid w:val="2E4E4C23"/>
    <w:rsid w:val="2E551D86"/>
    <w:rsid w:val="2E5B829D"/>
    <w:rsid w:val="2E5E728A"/>
    <w:rsid w:val="2E8AE5EC"/>
    <w:rsid w:val="2E8D8F3B"/>
    <w:rsid w:val="2E90A867"/>
    <w:rsid w:val="2E9189DF"/>
    <w:rsid w:val="2E98BD7B"/>
    <w:rsid w:val="2E997466"/>
    <w:rsid w:val="2EAD8217"/>
    <w:rsid w:val="2EAFC02B"/>
    <w:rsid w:val="2EB02654"/>
    <w:rsid w:val="2EB2F42C"/>
    <w:rsid w:val="2EB5EE3B"/>
    <w:rsid w:val="2EB9C20A"/>
    <w:rsid w:val="2ED35478"/>
    <w:rsid w:val="2ED888FD"/>
    <w:rsid w:val="2ED98071"/>
    <w:rsid w:val="2EED11BC"/>
    <w:rsid w:val="2EF4095E"/>
    <w:rsid w:val="2F008202"/>
    <w:rsid w:val="2F04757A"/>
    <w:rsid w:val="2F137305"/>
    <w:rsid w:val="2F18B4B4"/>
    <w:rsid w:val="2F18F3C9"/>
    <w:rsid w:val="2F24BDA3"/>
    <w:rsid w:val="2F306AF2"/>
    <w:rsid w:val="2F357B7E"/>
    <w:rsid w:val="2F41365B"/>
    <w:rsid w:val="2F502091"/>
    <w:rsid w:val="2F776A85"/>
    <w:rsid w:val="2F7CCB00"/>
    <w:rsid w:val="2F8EA4C5"/>
    <w:rsid w:val="2FAC8F64"/>
    <w:rsid w:val="2FC2E94C"/>
    <w:rsid w:val="2FC559FC"/>
    <w:rsid w:val="2FDFAFF1"/>
    <w:rsid w:val="2FE31F72"/>
    <w:rsid w:val="2FF7068C"/>
    <w:rsid w:val="3007B815"/>
    <w:rsid w:val="301327FF"/>
    <w:rsid w:val="30189369"/>
    <w:rsid w:val="30256440"/>
    <w:rsid w:val="3045DC24"/>
    <w:rsid w:val="3057E1B8"/>
    <w:rsid w:val="306C6740"/>
    <w:rsid w:val="308927EA"/>
    <w:rsid w:val="308A9B6A"/>
    <w:rsid w:val="309D372B"/>
    <w:rsid w:val="30A0299D"/>
    <w:rsid w:val="30B7FF22"/>
    <w:rsid w:val="30B92BC0"/>
    <w:rsid w:val="30BB69F6"/>
    <w:rsid w:val="30C078C2"/>
    <w:rsid w:val="30C1F5F6"/>
    <w:rsid w:val="30C9FF76"/>
    <w:rsid w:val="30FF32CD"/>
    <w:rsid w:val="310B6C18"/>
    <w:rsid w:val="311325A6"/>
    <w:rsid w:val="3121FA54"/>
    <w:rsid w:val="313BFC0D"/>
    <w:rsid w:val="31405514"/>
    <w:rsid w:val="3145DFB7"/>
    <w:rsid w:val="3159C57F"/>
    <w:rsid w:val="315E57D1"/>
    <w:rsid w:val="315F3BD4"/>
    <w:rsid w:val="315FF2A0"/>
    <w:rsid w:val="316CA430"/>
    <w:rsid w:val="316CE3F0"/>
    <w:rsid w:val="3177DAA8"/>
    <w:rsid w:val="318674ED"/>
    <w:rsid w:val="318C7432"/>
    <w:rsid w:val="319AEDA0"/>
    <w:rsid w:val="31D6C53E"/>
    <w:rsid w:val="31F010C3"/>
    <w:rsid w:val="31F1BB84"/>
    <w:rsid w:val="31FF2CD3"/>
    <w:rsid w:val="32071493"/>
    <w:rsid w:val="320AB75F"/>
    <w:rsid w:val="320C6C00"/>
    <w:rsid w:val="322F5B2E"/>
    <w:rsid w:val="32344019"/>
    <w:rsid w:val="323EE608"/>
    <w:rsid w:val="324FA1CF"/>
    <w:rsid w:val="32531400"/>
    <w:rsid w:val="32551491"/>
    <w:rsid w:val="32562BD0"/>
    <w:rsid w:val="32690927"/>
    <w:rsid w:val="3288BA31"/>
    <w:rsid w:val="3298D2F7"/>
    <w:rsid w:val="32BA9966"/>
    <w:rsid w:val="32CF87D2"/>
    <w:rsid w:val="32E7409B"/>
    <w:rsid w:val="330408B1"/>
    <w:rsid w:val="331BE6C1"/>
    <w:rsid w:val="33326B8F"/>
    <w:rsid w:val="3348568A"/>
    <w:rsid w:val="33506D34"/>
    <w:rsid w:val="335230B9"/>
    <w:rsid w:val="336D8118"/>
    <w:rsid w:val="33737BBC"/>
    <w:rsid w:val="337C992E"/>
    <w:rsid w:val="337E6B54"/>
    <w:rsid w:val="338C37AB"/>
    <w:rsid w:val="338F9CDE"/>
    <w:rsid w:val="339F404D"/>
    <w:rsid w:val="33A7BC4D"/>
    <w:rsid w:val="33B162AF"/>
    <w:rsid w:val="33BA5097"/>
    <w:rsid w:val="33C55CA2"/>
    <w:rsid w:val="33CB68CE"/>
    <w:rsid w:val="33CCE4F0"/>
    <w:rsid w:val="33CDB90D"/>
    <w:rsid w:val="33D69624"/>
    <w:rsid w:val="33E366FF"/>
    <w:rsid w:val="33FCD4D4"/>
    <w:rsid w:val="340EB9B1"/>
    <w:rsid w:val="34213E80"/>
    <w:rsid w:val="34241D68"/>
    <w:rsid w:val="344289CD"/>
    <w:rsid w:val="344421F5"/>
    <w:rsid w:val="345805FB"/>
    <w:rsid w:val="34594B39"/>
    <w:rsid w:val="345FC9A0"/>
    <w:rsid w:val="34798EC6"/>
    <w:rsid w:val="3479905A"/>
    <w:rsid w:val="347A85DD"/>
    <w:rsid w:val="347CD166"/>
    <w:rsid w:val="348125D7"/>
    <w:rsid w:val="349C62E0"/>
    <w:rsid w:val="34A4A29E"/>
    <w:rsid w:val="34AD79A0"/>
    <w:rsid w:val="34B0624D"/>
    <w:rsid w:val="34C28C95"/>
    <w:rsid w:val="34CB9FE5"/>
    <w:rsid w:val="34CDC78E"/>
    <w:rsid w:val="34CF9D6C"/>
    <w:rsid w:val="34D2988B"/>
    <w:rsid w:val="34EDC64F"/>
    <w:rsid w:val="34EDEA3C"/>
    <w:rsid w:val="34F6D491"/>
    <w:rsid w:val="34F7BB65"/>
    <w:rsid w:val="34FDB22C"/>
    <w:rsid w:val="350769A8"/>
    <w:rsid w:val="350E3FF1"/>
    <w:rsid w:val="3511E4D1"/>
    <w:rsid w:val="35217606"/>
    <w:rsid w:val="3524F728"/>
    <w:rsid w:val="352F4220"/>
    <w:rsid w:val="35354B2C"/>
    <w:rsid w:val="353C57AE"/>
    <w:rsid w:val="355089B6"/>
    <w:rsid w:val="3556C086"/>
    <w:rsid w:val="355700BD"/>
    <w:rsid w:val="355D1275"/>
    <w:rsid w:val="356A15B6"/>
    <w:rsid w:val="356C81BF"/>
    <w:rsid w:val="35792ABD"/>
    <w:rsid w:val="357DB2B3"/>
    <w:rsid w:val="3591D1B2"/>
    <w:rsid w:val="359A030A"/>
    <w:rsid w:val="359A8149"/>
    <w:rsid w:val="359CD1FD"/>
    <w:rsid w:val="35B8AC98"/>
    <w:rsid w:val="35C723FF"/>
    <w:rsid w:val="35D46232"/>
    <w:rsid w:val="35E3E337"/>
    <w:rsid w:val="35FE3D6B"/>
    <w:rsid w:val="360E8277"/>
    <w:rsid w:val="361251B1"/>
    <w:rsid w:val="36198733"/>
    <w:rsid w:val="362FF3C2"/>
    <w:rsid w:val="36323C66"/>
    <w:rsid w:val="365395E4"/>
    <w:rsid w:val="3658F52A"/>
    <w:rsid w:val="366D7F7A"/>
    <w:rsid w:val="36717174"/>
    <w:rsid w:val="367C62AE"/>
    <w:rsid w:val="3684BE7A"/>
    <w:rsid w:val="36A0D156"/>
    <w:rsid w:val="36A5528D"/>
    <w:rsid w:val="36A79AB5"/>
    <w:rsid w:val="36AEDD23"/>
    <w:rsid w:val="36AF1EF9"/>
    <w:rsid w:val="36BC9245"/>
    <w:rsid w:val="36C9FEE4"/>
    <w:rsid w:val="36CAF650"/>
    <w:rsid w:val="36D1CB38"/>
    <w:rsid w:val="36DC0BAA"/>
    <w:rsid w:val="36DEFB65"/>
    <w:rsid w:val="36E7B697"/>
    <w:rsid w:val="36F0C116"/>
    <w:rsid w:val="3709C0C6"/>
    <w:rsid w:val="373612CA"/>
    <w:rsid w:val="373B90CF"/>
    <w:rsid w:val="3740E737"/>
    <w:rsid w:val="37495C97"/>
    <w:rsid w:val="374D91F4"/>
    <w:rsid w:val="375B1ECF"/>
    <w:rsid w:val="3770C14F"/>
    <w:rsid w:val="37745315"/>
    <w:rsid w:val="3782ADAB"/>
    <w:rsid w:val="3790CCC4"/>
    <w:rsid w:val="37945625"/>
    <w:rsid w:val="37A3CFA0"/>
    <w:rsid w:val="37AB62B5"/>
    <w:rsid w:val="37B983AC"/>
    <w:rsid w:val="37BF3EA8"/>
    <w:rsid w:val="37D38333"/>
    <w:rsid w:val="37D4E44B"/>
    <w:rsid w:val="37D8CBE4"/>
    <w:rsid w:val="37DF6343"/>
    <w:rsid w:val="37EA974E"/>
    <w:rsid w:val="37F92EBF"/>
    <w:rsid w:val="380398DA"/>
    <w:rsid w:val="3809BFC8"/>
    <w:rsid w:val="380E5ACC"/>
    <w:rsid w:val="380FF394"/>
    <w:rsid w:val="381B2520"/>
    <w:rsid w:val="3844D970"/>
    <w:rsid w:val="3847A7E1"/>
    <w:rsid w:val="3856F7DA"/>
    <w:rsid w:val="386EA6B3"/>
    <w:rsid w:val="386FDFD6"/>
    <w:rsid w:val="3870B57B"/>
    <w:rsid w:val="3870CFCE"/>
    <w:rsid w:val="388C5636"/>
    <w:rsid w:val="38A53B75"/>
    <w:rsid w:val="38AAE23A"/>
    <w:rsid w:val="38B17412"/>
    <w:rsid w:val="38DC3A1C"/>
    <w:rsid w:val="38E5BEE2"/>
    <w:rsid w:val="38EA5973"/>
    <w:rsid w:val="38EF30B5"/>
    <w:rsid w:val="38F326F3"/>
    <w:rsid w:val="38F64255"/>
    <w:rsid w:val="38F9A51F"/>
    <w:rsid w:val="3921C75E"/>
    <w:rsid w:val="393274D4"/>
    <w:rsid w:val="3937FCFF"/>
    <w:rsid w:val="396111FE"/>
    <w:rsid w:val="396DBE3B"/>
    <w:rsid w:val="3974425A"/>
    <w:rsid w:val="397BFB7E"/>
    <w:rsid w:val="3981BC5C"/>
    <w:rsid w:val="3983A940"/>
    <w:rsid w:val="39862883"/>
    <w:rsid w:val="398C4750"/>
    <w:rsid w:val="3992DA65"/>
    <w:rsid w:val="399BB50C"/>
    <w:rsid w:val="39D99F24"/>
    <w:rsid w:val="39DED0B2"/>
    <w:rsid w:val="39EBD2A6"/>
    <w:rsid w:val="39F1D815"/>
    <w:rsid w:val="39F41C9F"/>
    <w:rsid w:val="39FCDE39"/>
    <w:rsid w:val="3A0252D1"/>
    <w:rsid w:val="3A09476A"/>
    <w:rsid w:val="3A0D461F"/>
    <w:rsid w:val="3A174F5D"/>
    <w:rsid w:val="3A23B9D5"/>
    <w:rsid w:val="3A30E1DD"/>
    <w:rsid w:val="3A4ADEEE"/>
    <w:rsid w:val="3A518830"/>
    <w:rsid w:val="3A635BBC"/>
    <w:rsid w:val="3A6C5CB1"/>
    <w:rsid w:val="3A74BA09"/>
    <w:rsid w:val="3A822FE7"/>
    <w:rsid w:val="3A96BC0C"/>
    <w:rsid w:val="3A9D161C"/>
    <w:rsid w:val="3AA2E044"/>
    <w:rsid w:val="3AA38977"/>
    <w:rsid w:val="3AA97843"/>
    <w:rsid w:val="3AAC9C69"/>
    <w:rsid w:val="3AAEFEF1"/>
    <w:rsid w:val="3AB1C73B"/>
    <w:rsid w:val="3ABAB249"/>
    <w:rsid w:val="3AD00D98"/>
    <w:rsid w:val="3AF15531"/>
    <w:rsid w:val="3B0CDEF4"/>
    <w:rsid w:val="3B2D8A9E"/>
    <w:rsid w:val="3B3E0EA5"/>
    <w:rsid w:val="3B5EF826"/>
    <w:rsid w:val="3B63AD2B"/>
    <w:rsid w:val="3B7AE0D2"/>
    <w:rsid w:val="3B7BC381"/>
    <w:rsid w:val="3B7EB74A"/>
    <w:rsid w:val="3BBEBA68"/>
    <w:rsid w:val="3BDC8FEF"/>
    <w:rsid w:val="3BDD0CE0"/>
    <w:rsid w:val="3C01F5CF"/>
    <w:rsid w:val="3C162139"/>
    <w:rsid w:val="3C1F767A"/>
    <w:rsid w:val="3C261C0D"/>
    <w:rsid w:val="3C27BB9F"/>
    <w:rsid w:val="3C443F31"/>
    <w:rsid w:val="3C498D4F"/>
    <w:rsid w:val="3C4B6F0E"/>
    <w:rsid w:val="3C514BC0"/>
    <w:rsid w:val="3C54CCFA"/>
    <w:rsid w:val="3C566F8D"/>
    <w:rsid w:val="3C8158BE"/>
    <w:rsid w:val="3C82CC6A"/>
    <w:rsid w:val="3C848E01"/>
    <w:rsid w:val="3C903484"/>
    <w:rsid w:val="3C91E807"/>
    <w:rsid w:val="3CA28F6E"/>
    <w:rsid w:val="3CB1713C"/>
    <w:rsid w:val="3CB4860F"/>
    <w:rsid w:val="3CB5F579"/>
    <w:rsid w:val="3CB68400"/>
    <w:rsid w:val="3CC104A0"/>
    <w:rsid w:val="3CC1DD59"/>
    <w:rsid w:val="3CC7AB74"/>
    <w:rsid w:val="3CD10DC3"/>
    <w:rsid w:val="3CDED840"/>
    <w:rsid w:val="3CE07F87"/>
    <w:rsid w:val="3CE9AD62"/>
    <w:rsid w:val="3CEE517B"/>
    <w:rsid w:val="3CFE9969"/>
    <w:rsid w:val="3D048270"/>
    <w:rsid w:val="3D072FE3"/>
    <w:rsid w:val="3D16DD17"/>
    <w:rsid w:val="3D180CEC"/>
    <w:rsid w:val="3D1EC609"/>
    <w:rsid w:val="3D2377EC"/>
    <w:rsid w:val="3D289D90"/>
    <w:rsid w:val="3D3DB5F9"/>
    <w:rsid w:val="3D4047B0"/>
    <w:rsid w:val="3D59D8EB"/>
    <w:rsid w:val="3D5E0C0C"/>
    <w:rsid w:val="3D5E7EB4"/>
    <w:rsid w:val="3D9AE918"/>
    <w:rsid w:val="3DAB75D4"/>
    <w:rsid w:val="3DB3D4F1"/>
    <w:rsid w:val="3DB7DB6E"/>
    <w:rsid w:val="3DBE8306"/>
    <w:rsid w:val="3DC77388"/>
    <w:rsid w:val="3DD21A35"/>
    <w:rsid w:val="3DDAB5A8"/>
    <w:rsid w:val="3DE9E07E"/>
    <w:rsid w:val="3E0CA578"/>
    <w:rsid w:val="3E0EABC0"/>
    <w:rsid w:val="3E24E90B"/>
    <w:rsid w:val="3E2FF928"/>
    <w:rsid w:val="3E358575"/>
    <w:rsid w:val="3E386308"/>
    <w:rsid w:val="3E3B8B2E"/>
    <w:rsid w:val="3E3F2290"/>
    <w:rsid w:val="3E470CDA"/>
    <w:rsid w:val="3E4DDF1B"/>
    <w:rsid w:val="3E50C6EB"/>
    <w:rsid w:val="3E52D5B0"/>
    <w:rsid w:val="3E623816"/>
    <w:rsid w:val="3E6DB440"/>
    <w:rsid w:val="3E7C16F3"/>
    <w:rsid w:val="3E821E50"/>
    <w:rsid w:val="3E84B540"/>
    <w:rsid w:val="3E90981B"/>
    <w:rsid w:val="3E9F0C89"/>
    <w:rsid w:val="3EB5753E"/>
    <w:rsid w:val="3EB5F179"/>
    <w:rsid w:val="3EBFAB0D"/>
    <w:rsid w:val="3ECA9CDC"/>
    <w:rsid w:val="3EE21A46"/>
    <w:rsid w:val="3F0A96D6"/>
    <w:rsid w:val="3F1D3FD5"/>
    <w:rsid w:val="3F3A73B1"/>
    <w:rsid w:val="3F3A87E7"/>
    <w:rsid w:val="3F3D0F0E"/>
    <w:rsid w:val="3F5E3158"/>
    <w:rsid w:val="3F5E4E8F"/>
    <w:rsid w:val="3F638E46"/>
    <w:rsid w:val="3F650AD1"/>
    <w:rsid w:val="3F67EA48"/>
    <w:rsid w:val="3F6C5D94"/>
    <w:rsid w:val="3F7A54F8"/>
    <w:rsid w:val="3F8396F8"/>
    <w:rsid w:val="3F8E9DC9"/>
    <w:rsid w:val="3F90ACC5"/>
    <w:rsid w:val="3F9293EE"/>
    <w:rsid w:val="3FA4F3B0"/>
    <w:rsid w:val="3FA5357D"/>
    <w:rsid w:val="3FA72DBA"/>
    <w:rsid w:val="3FB99EE7"/>
    <w:rsid w:val="3FC37C75"/>
    <w:rsid w:val="3FC8DC42"/>
    <w:rsid w:val="3FCC54C4"/>
    <w:rsid w:val="3FD6721D"/>
    <w:rsid w:val="3FE9F197"/>
    <w:rsid w:val="3FF4B75B"/>
    <w:rsid w:val="3FF834EE"/>
    <w:rsid w:val="3FFE5A50"/>
    <w:rsid w:val="4001BEBE"/>
    <w:rsid w:val="40074978"/>
    <w:rsid w:val="400A8AF2"/>
    <w:rsid w:val="400E5B90"/>
    <w:rsid w:val="401F1D34"/>
    <w:rsid w:val="4022036A"/>
    <w:rsid w:val="4024A189"/>
    <w:rsid w:val="403102C3"/>
    <w:rsid w:val="40342812"/>
    <w:rsid w:val="403D24EB"/>
    <w:rsid w:val="403F69E4"/>
    <w:rsid w:val="40420A98"/>
    <w:rsid w:val="404C9C09"/>
    <w:rsid w:val="404E481A"/>
    <w:rsid w:val="40611181"/>
    <w:rsid w:val="4061AE47"/>
    <w:rsid w:val="4061F65F"/>
    <w:rsid w:val="4069BB71"/>
    <w:rsid w:val="406B0658"/>
    <w:rsid w:val="407097E5"/>
    <w:rsid w:val="4071251D"/>
    <w:rsid w:val="4078B090"/>
    <w:rsid w:val="4099AEE8"/>
    <w:rsid w:val="40A0D243"/>
    <w:rsid w:val="40ACF530"/>
    <w:rsid w:val="40AEBDF3"/>
    <w:rsid w:val="40C0510A"/>
    <w:rsid w:val="40DA856F"/>
    <w:rsid w:val="40DE8F24"/>
    <w:rsid w:val="40E08728"/>
    <w:rsid w:val="40ED4B4D"/>
    <w:rsid w:val="410DBCC2"/>
    <w:rsid w:val="4114ADA0"/>
    <w:rsid w:val="4119E535"/>
    <w:rsid w:val="41339A0D"/>
    <w:rsid w:val="413BDEB7"/>
    <w:rsid w:val="414B6ECC"/>
    <w:rsid w:val="414F20A7"/>
    <w:rsid w:val="41656B88"/>
    <w:rsid w:val="417FB0C2"/>
    <w:rsid w:val="419608B7"/>
    <w:rsid w:val="419A8704"/>
    <w:rsid w:val="41A0B52B"/>
    <w:rsid w:val="41B44342"/>
    <w:rsid w:val="41BDDD1F"/>
    <w:rsid w:val="41BEBA7A"/>
    <w:rsid w:val="41C0D8D7"/>
    <w:rsid w:val="41C1D23E"/>
    <w:rsid w:val="41CD788D"/>
    <w:rsid w:val="41D88702"/>
    <w:rsid w:val="41D94823"/>
    <w:rsid w:val="41E3861D"/>
    <w:rsid w:val="41EBE5EB"/>
    <w:rsid w:val="41EE112A"/>
    <w:rsid w:val="41F3EFD7"/>
    <w:rsid w:val="420008DC"/>
    <w:rsid w:val="42194D27"/>
    <w:rsid w:val="4223F377"/>
    <w:rsid w:val="422CCAFB"/>
    <w:rsid w:val="422EEC63"/>
    <w:rsid w:val="423C0279"/>
    <w:rsid w:val="42443406"/>
    <w:rsid w:val="4247DEB8"/>
    <w:rsid w:val="4254D764"/>
    <w:rsid w:val="42561F15"/>
    <w:rsid w:val="42631EC0"/>
    <w:rsid w:val="4268AB47"/>
    <w:rsid w:val="426CD673"/>
    <w:rsid w:val="4272A73D"/>
    <w:rsid w:val="4277887A"/>
    <w:rsid w:val="427C8F64"/>
    <w:rsid w:val="4287D141"/>
    <w:rsid w:val="428B81B8"/>
    <w:rsid w:val="429F76E7"/>
    <w:rsid w:val="42A78895"/>
    <w:rsid w:val="42B08C1E"/>
    <w:rsid w:val="42B6E88E"/>
    <w:rsid w:val="42DA8E7E"/>
    <w:rsid w:val="42EF8649"/>
    <w:rsid w:val="42F1C8B6"/>
    <w:rsid w:val="42FD9F38"/>
    <w:rsid w:val="4300C0A8"/>
    <w:rsid w:val="430DD2AA"/>
    <w:rsid w:val="430E0C03"/>
    <w:rsid w:val="43133D64"/>
    <w:rsid w:val="431956EF"/>
    <w:rsid w:val="431C49FD"/>
    <w:rsid w:val="431D4F3E"/>
    <w:rsid w:val="434209F0"/>
    <w:rsid w:val="434FC9A9"/>
    <w:rsid w:val="4354661F"/>
    <w:rsid w:val="43628B38"/>
    <w:rsid w:val="43794424"/>
    <w:rsid w:val="439788B4"/>
    <w:rsid w:val="439E128E"/>
    <w:rsid w:val="43B8CA44"/>
    <w:rsid w:val="43D30321"/>
    <w:rsid w:val="43D86EF8"/>
    <w:rsid w:val="43E73106"/>
    <w:rsid w:val="43F067EB"/>
    <w:rsid w:val="43F2BDB8"/>
    <w:rsid w:val="43F8F035"/>
    <w:rsid w:val="43FA29AC"/>
    <w:rsid w:val="43FFDB17"/>
    <w:rsid w:val="44073625"/>
    <w:rsid w:val="44174DFD"/>
    <w:rsid w:val="44190CF4"/>
    <w:rsid w:val="442AAD21"/>
    <w:rsid w:val="4431A492"/>
    <w:rsid w:val="443D565A"/>
    <w:rsid w:val="44508AB9"/>
    <w:rsid w:val="44536312"/>
    <w:rsid w:val="44581A72"/>
    <w:rsid w:val="44598568"/>
    <w:rsid w:val="4461F309"/>
    <w:rsid w:val="44641640"/>
    <w:rsid w:val="446B618A"/>
    <w:rsid w:val="447405B1"/>
    <w:rsid w:val="447E2AA4"/>
    <w:rsid w:val="4490557C"/>
    <w:rsid w:val="449DD3F3"/>
    <w:rsid w:val="44A96C67"/>
    <w:rsid w:val="44B00FE8"/>
    <w:rsid w:val="44BE0430"/>
    <w:rsid w:val="44D556D9"/>
    <w:rsid w:val="44DAE0CA"/>
    <w:rsid w:val="44E469C0"/>
    <w:rsid w:val="44E8DDA2"/>
    <w:rsid w:val="44EA1D57"/>
    <w:rsid w:val="44FC0EEB"/>
    <w:rsid w:val="450BC1D0"/>
    <w:rsid w:val="4537CC78"/>
    <w:rsid w:val="453B7717"/>
    <w:rsid w:val="454142A2"/>
    <w:rsid w:val="4548AA25"/>
    <w:rsid w:val="454ACC33"/>
    <w:rsid w:val="4555320B"/>
    <w:rsid w:val="455676BA"/>
    <w:rsid w:val="455CF5FC"/>
    <w:rsid w:val="4561FFB3"/>
    <w:rsid w:val="4575CBDA"/>
    <w:rsid w:val="4576037F"/>
    <w:rsid w:val="457864B6"/>
    <w:rsid w:val="457D78E2"/>
    <w:rsid w:val="45877912"/>
    <w:rsid w:val="458F4862"/>
    <w:rsid w:val="45B7C2E4"/>
    <w:rsid w:val="45BDFBF7"/>
    <w:rsid w:val="45BECCAC"/>
    <w:rsid w:val="45BF511F"/>
    <w:rsid w:val="45C1D74E"/>
    <w:rsid w:val="45C40DE9"/>
    <w:rsid w:val="45CD2C63"/>
    <w:rsid w:val="45CDFBD9"/>
    <w:rsid w:val="45D2D421"/>
    <w:rsid w:val="45E7CB4B"/>
    <w:rsid w:val="45EB6AC3"/>
    <w:rsid w:val="45F45070"/>
    <w:rsid w:val="45F5CB6D"/>
    <w:rsid w:val="45F86BD0"/>
    <w:rsid w:val="460A1BE8"/>
    <w:rsid w:val="4628930D"/>
    <w:rsid w:val="464B8BBB"/>
    <w:rsid w:val="465587A8"/>
    <w:rsid w:val="4664CF07"/>
    <w:rsid w:val="4668CA60"/>
    <w:rsid w:val="466DEF02"/>
    <w:rsid w:val="467B69C3"/>
    <w:rsid w:val="467E8300"/>
    <w:rsid w:val="4683ADEB"/>
    <w:rsid w:val="469A080B"/>
    <w:rsid w:val="469A6690"/>
    <w:rsid w:val="46C273BB"/>
    <w:rsid w:val="46C4823A"/>
    <w:rsid w:val="46C577B4"/>
    <w:rsid w:val="46C8F100"/>
    <w:rsid w:val="46DE46D6"/>
    <w:rsid w:val="46DFCEF1"/>
    <w:rsid w:val="46ED4042"/>
    <w:rsid w:val="46F6C008"/>
    <w:rsid w:val="46FFDFD5"/>
    <w:rsid w:val="47153BED"/>
    <w:rsid w:val="4715B9E7"/>
    <w:rsid w:val="4729A9B0"/>
    <w:rsid w:val="472A57B6"/>
    <w:rsid w:val="47322DFB"/>
    <w:rsid w:val="4737F7A3"/>
    <w:rsid w:val="474A3A4B"/>
    <w:rsid w:val="475BAD10"/>
    <w:rsid w:val="475C67BF"/>
    <w:rsid w:val="4760056D"/>
    <w:rsid w:val="476611D5"/>
    <w:rsid w:val="4772D262"/>
    <w:rsid w:val="47769AB6"/>
    <w:rsid w:val="4778D8E5"/>
    <w:rsid w:val="477F0D6D"/>
    <w:rsid w:val="4786249B"/>
    <w:rsid w:val="4798074A"/>
    <w:rsid w:val="47A05FDC"/>
    <w:rsid w:val="47B4A75E"/>
    <w:rsid w:val="47B6D9A4"/>
    <w:rsid w:val="47CA7DAC"/>
    <w:rsid w:val="47CFA78F"/>
    <w:rsid w:val="47D486D3"/>
    <w:rsid w:val="47DFF1F5"/>
    <w:rsid w:val="48056324"/>
    <w:rsid w:val="480606AC"/>
    <w:rsid w:val="4818BA69"/>
    <w:rsid w:val="4820118D"/>
    <w:rsid w:val="484A326A"/>
    <w:rsid w:val="4858B6A5"/>
    <w:rsid w:val="4884276B"/>
    <w:rsid w:val="4886C4D3"/>
    <w:rsid w:val="48923B72"/>
    <w:rsid w:val="48A341A5"/>
    <w:rsid w:val="48B87958"/>
    <w:rsid w:val="48C4F0AF"/>
    <w:rsid w:val="48C7FA8F"/>
    <w:rsid w:val="48C9CBBD"/>
    <w:rsid w:val="48E5D448"/>
    <w:rsid w:val="48EF4A8B"/>
    <w:rsid w:val="48F221B4"/>
    <w:rsid w:val="4903A77D"/>
    <w:rsid w:val="490C4A5D"/>
    <w:rsid w:val="491A87E8"/>
    <w:rsid w:val="491AD34F"/>
    <w:rsid w:val="491B5E30"/>
    <w:rsid w:val="491CC6FC"/>
    <w:rsid w:val="492393DE"/>
    <w:rsid w:val="4924BBDE"/>
    <w:rsid w:val="4927CE2F"/>
    <w:rsid w:val="493424D3"/>
    <w:rsid w:val="493CF502"/>
    <w:rsid w:val="493DA2DF"/>
    <w:rsid w:val="4940D9BD"/>
    <w:rsid w:val="494D74DF"/>
    <w:rsid w:val="494F49BF"/>
    <w:rsid w:val="495C9E5E"/>
    <w:rsid w:val="4962CCF2"/>
    <w:rsid w:val="49636075"/>
    <w:rsid w:val="496FAD40"/>
    <w:rsid w:val="4971BB57"/>
    <w:rsid w:val="497BB889"/>
    <w:rsid w:val="497EAF73"/>
    <w:rsid w:val="498A5EE5"/>
    <w:rsid w:val="498AC73A"/>
    <w:rsid w:val="49A0C38C"/>
    <w:rsid w:val="49A7A677"/>
    <w:rsid w:val="49A80104"/>
    <w:rsid w:val="49B36858"/>
    <w:rsid w:val="49B77AED"/>
    <w:rsid w:val="49CCFFA7"/>
    <w:rsid w:val="49E9B275"/>
    <w:rsid w:val="49EE1060"/>
    <w:rsid w:val="49F9C730"/>
    <w:rsid w:val="49FCD74A"/>
    <w:rsid w:val="4A0C75B7"/>
    <w:rsid w:val="4A0F6D8A"/>
    <w:rsid w:val="4A23B7A0"/>
    <w:rsid w:val="4A250248"/>
    <w:rsid w:val="4A3A8F08"/>
    <w:rsid w:val="4A4D03A0"/>
    <w:rsid w:val="4A562630"/>
    <w:rsid w:val="4A59185D"/>
    <w:rsid w:val="4A5CA084"/>
    <w:rsid w:val="4A670EF1"/>
    <w:rsid w:val="4A6CB2A9"/>
    <w:rsid w:val="4A767F20"/>
    <w:rsid w:val="4A76D09F"/>
    <w:rsid w:val="4A781752"/>
    <w:rsid w:val="4A7B0DBB"/>
    <w:rsid w:val="4A95BC07"/>
    <w:rsid w:val="4AAC672A"/>
    <w:rsid w:val="4AAFE30D"/>
    <w:rsid w:val="4AB20AA7"/>
    <w:rsid w:val="4AB706FA"/>
    <w:rsid w:val="4AC3BF82"/>
    <w:rsid w:val="4AC97228"/>
    <w:rsid w:val="4ACE65DA"/>
    <w:rsid w:val="4ACFC520"/>
    <w:rsid w:val="4AD1F2E6"/>
    <w:rsid w:val="4AD57C68"/>
    <w:rsid w:val="4AE07A33"/>
    <w:rsid w:val="4AFFB17E"/>
    <w:rsid w:val="4B006A0F"/>
    <w:rsid w:val="4B055EDA"/>
    <w:rsid w:val="4B074DC8"/>
    <w:rsid w:val="4B0B11A0"/>
    <w:rsid w:val="4B0D2401"/>
    <w:rsid w:val="4B1B6B22"/>
    <w:rsid w:val="4B2910BB"/>
    <w:rsid w:val="4B298920"/>
    <w:rsid w:val="4B3800F0"/>
    <w:rsid w:val="4B4D99CD"/>
    <w:rsid w:val="4B5D7FA1"/>
    <w:rsid w:val="4B636787"/>
    <w:rsid w:val="4B6B60BB"/>
    <w:rsid w:val="4B6E97FA"/>
    <w:rsid w:val="4B7192FA"/>
    <w:rsid w:val="4B7C78D2"/>
    <w:rsid w:val="4B99BEDC"/>
    <w:rsid w:val="4B9C37AE"/>
    <w:rsid w:val="4BA6FEAA"/>
    <w:rsid w:val="4BAFAE1A"/>
    <w:rsid w:val="4BBB46B8"/>
    <w:rsid w:val="4BBCF553"/>
    <w:rsid w:val="4BC6EDCD"/>
    <w:rsid w:val="4BCC5F86"/>
    <w:rsid w:val="4BD730A6"/>
    <w:rsid w:val="4BE65FE8"/>
    <w:rsid w:val="4BE6F986"/>
    <w:rsid w:val="4BF81D3D"/>
    <w:rsid w:val="4C0C861B"/>
    <w:rsid w:val="4C35ED8F"/>
    <w:rsid w:val="4C40E1CE"/>
    <w:rsid w:val="4C502A11"/>
    <w:rsid w:val="4C548D0B"/>
    <w:rsid w:val="4C6F6E49"/>
    <w:rsid w:val="4C700EC6"/>
    <w:rsid w:val="4C81FC9B"/>
    <w:rsid w:val="4C865444"/>
    <w:rsid w:val="4C8E6004"/>
    <w:rsid w:val="4CA1F713"/>
    <w:rsid w:val="4CA3231D"/>
    <w:rsid w:val="4CAD5F03"/>
    <w:rsid w:val="4CAE9764"/>
    <w:rsid w:val="4CC17449"/>
    <w:rsid w:val="4CCA1FB7"/>
    <w:rsid w:val="4CD2CD50"/>
    <w:rsid w:val="4CD7DF3B"/>
    <w:rsid w:val="4CDD32D9"/>
    <w:rsid w:val="4CE8C2F4"/>
    <w:rsid w:val="4CE9E93A"/>
    <w:rsid w:val="4D0F5D68"/>
    <w:rsid w:val="4D171505"/>
    <w:rsid w:val="4D2F210F"/>
    <w:rsid w:val="4D371850"/>
    <w:rsid w:val="4D39912D"/>
    <w:rsid w:val="4D498CC7"/>
    <w:rsid w:val="4D68B758"/>
    <w:rsid w:val="4D7606E1"/>
    <w:rsid w:val="4D910DE8"/>
    <w:rsid w:val="4D9AA4A1"/>
    <w:rsid w:val="4D9F291A"/>
    <w:rsid w:val="4DAA889C"/>
    <w:rsid w:val="4DADE832"/>
    <w:rsid w:val="4DAFC4EC"/>
    <w:rsid w:val="4DB30483"/>
    <w:rsid w:val="4DB9380F"/>
    <w:rsid w:val="4DBDA4D4"/>
    <w:rsid w:val="4DD3A5E0"/>
    <w:rsid w:val="4DD8D0CA"/>
    <w:rsid w:val="4DE945A8"/>
    <w:rsid w:val="4DF73F44"/>
    <w:rsid w:val="4E0505C7"/>
    <w:rsid w:val="4E1455A3"/>
    <w:rsid w:val="4E2D79B3"/>
    <w:rsid w:val="4E442D91"/>
    <w:rsid w:val="4E59D442"/>
    <w:rsid w:val="4E698709"/>
    <w:rsid w:val="4E735EC7"/>
    <w:rsid w:val="4E77F2EB"/>
    <w:rsid w:val="4E7E0D7F"/>
    <w:rsid w:val="4E93D906"/>
    <w:rsid w:val="4E9D2BA6"/>
    <w:rsid w:val="4EA55C7D"/>
    <w:rsid w:val="4EB1E166"/>
    <w:rsid w:val="4EB9598E"/>
    <w:rsid w:val="4ED0AE9D"/>
    <w:rsid w:val="4ED5ABED"/>
    <w:rsid w:val="4EE00095"/>
    <w:rsid w:val="4EF0F560"/>
    <w:rsid w:val="4EF49036"/>
    <w:rsid w:val="4EF7F2D2"/>
    <w:rsid w:val="4EFD1FE1"/>
    <w:rsid w:val="4F0AD24D"/>
    <w:rsid w:val="4F135354"/>
    <w:rsid w:val="4F23AE4D"/>
    <w:rsid w:val="4F2728FB"/>
    <w:rsid w:val="4F295AB1"/>
    <w:rsid w:val="4F374DFC"/>
    <w:rsid w:val="4F37A1D5"/>
    <w:rsid w:val="4F3B87BE"/>
    <w:rsid w:val="4F400670"/>
    <w:rsid w:val="4F42B1D8"/>
    <w:rsid w:val="4F5A2BFB"/>
    <w:rsid w:val="4F7BD9FD"/>
    <w:rsid w:val="4F8667DC"/>
    <w:rsid w:val="4F8DFD11"/>
    <w:rsid w:val="4F90D93A"/>
    <w:rsid w:val="4F95AA7D"/>
    <w:rsid w:val="4F9B76CB"/>
    <w:rsid w:val="4FA6740E"/>
    <w:rsid w:val="4FACFEF5"/>
    <w:rsid w:val="4FB43C76"/>
    <w:rsid w:val="4FB7D402"/>
    <w:rsid w:val="4FC7CEF8"/>
    <w:rsid w:val="4FCA90A3"/>
    <w:rsid w:val="4FD42110"/>
    <w:rsid w:val="4FE4E687"/>
    <w:rsid w:val="4FE61F31"/>
    <w:rsid w:val="4FF10FDE"/>
    <w:rsid w:val="5010FD6F"/>
    <w:rsid w:val="502DEB6D"/>
    <w:rsid w:val="5036098C"/>
    <w:rsid w:val="5038913F"/>
    <w:rsid w:val="50406A47"/>
    <w:rsid w:val="504555D8"/>
    <w:rsid w:val="50468F5C"/>
    <w:rsid w:val="50733682"/>
    <w:rsid w:val="50799BC8"/>
    <w:rsid w:val="507AD563"/>
    <w:rsid w:val="508D46A4"/>
    <w:rsid w:val="509C66F1"/>
    <w:rsid w:val="50B7D586"/>
    <w:rsid w:val="50D04112"/>
    <w:rsid w:val="50DED804"/>
    <w:rsid w:val="50E17F71"/>
    <w:rsid w:val="50E427E1"/>
    <w:rsid w:val="50EED350"/>
    <w:rsid w:val="50F34F43"/>
    <w:rsid w:val="510D6238"/>
    <w:rsid w:val="5124DCE4"/>
    <w:rsid w:val="512BACC1"/>
    <w:rsid w:val="514D52D3"/>
    <w:rsid w:val="51549B8E"/>
    <w:rsid w:val="5156ADD5"/>
    <w:rsid w:val="5157D5FE"/>
    <w:rsid w:val="517C1D41"/>
    <w:rsid w:val="5188A6F7"/>
    <w:rsid w:val="51AC398E"/>
    <w:rsid w:val="51BCF415"/>
    <w:rsid w:val="51D296F3"/>
    <w:rsid w:val="51D92D3F"/>
    <w:rsid w:val="51DA31C8"/>
    <w:rsid w:val="51EF1D74"/>
    <w:rsid w:val="51F00D18"/>
    <w:rsid w:val="51F613FB"/>
    <w:rsid w:val="51FB96B1"/>
    <w:rsid w:val="521EF2DC"/>
    <w:rsid w:val="52224ABB"/>
    <w:rsid w:val="52237559"/>
    <w:rsid w:val="52289294"/>
    <w:rsid w:val="522950E4"/>
    <w:rsid w:val="522CB8DE"/>
    <w:rsid w:val="523280C9"/>
    <w:rsid w:val="523E587D"/>
    <w:rsid w:val="524E3756"/>
    <w:rsid w:val="5256978C"/>
    <w:rsid w:val="5266182D"/>
    <w:rsid w:val="52698C89"/>
    <w:rsid w:val="527FAA70"/>
    <w:rsid w:val="528763E2"/>
    <w:rsid w:val="528A4B67"/>
    <w:rsid w:val="52907E4E"/>
    <w:rsid w:val="52909A59"/>
    <w:rsid w:val="5299A45E"/>
    <w:rsid w:val="529A6D71"/>
    <w:rsid w:val="529D9C55"/>
    <w:rsid w:val="52A43C5A"/>
    <w:rsid w:val="52AD54CB"/>
    <w:rsid w:val="52B33F12"/>
    <w:rsid w:val="52D1C5D2"/>
    <w:rsid w:val="52D9DA82"/>
    <w:rsid w:val="5309FEFA"/>
    <w:rsid w:val="530F849A"/>
    <w:rsid w:val="532AF4E9"/>
    <w:rsid w:val="532C6B5B"/>
    <w:rsid w:val="533BA443"/>
    <w:rsid w:val="5347BB9C"/>
    <w:rsid w:val="5352CC1A"/>
    <w:rsid w:val="535909AD"/>
    <w:rsid w:val="535BBB08"/>
    <w:rsid w:val="535D2091"/>
    <w:rsid w:val="538A90F4"/>
    <w:rsid w:val="53B01C76"/>
    <w:rsid w:val="53B606A7"/>
    <w:rsid w:val="53BB5609"/>
    <w:rsid w:val="53BFAFEE"/>
    <w:rsid w:val="53C529AF"/>
    <w:rsid w:val="53C81240"/>
    <w:rsid w:val="53C9D052"/>
    <w:rsid w:val="53CD5C54"/>
    <w:rsid w:val="53E35403"/>
    <w:rsid w:val="53EBFE42"/>
    <w:rsid w:val="53FC46F8"/>
    <w:rsid w:val="540E8752"/>
    <w:rsid w:val="5418628C"/>
    <w:rsid w:val="5432B411"/>
    <w:rsid w:val="543F50E7"/>
    <w:rsid w:val="5444F44B"/>
    <w:rsid w:val="5447B55F"/>
    <w:rsid w:val="544CCADD"/>
    <w:rsid w:val="544F2D84"/>
    <w:rsid w:val="5457F195"/>
    <w:rsid w:val="545EF73A"/>
    <w:rsid w:val="54625297"/>
    <w:rsid w:val="54645B0A"/>
    <w:rsid w:val="5472532B"/>
    <w:rsid w:val="547D81B1"/>
    <w:rsid w:val="5481560E"/>
    <w:rsid w:val="5488F3B8"/>
    <w:rsid w:val="548D86AC"/>
    <w:rsid w:val="549D2EF9"/>
    <w:rsid w:val="549DBD01"/>
    <w:rsid w:val="54A741EC"/>
    <w:rsid w:val="54B180FA"/>
    <w:rsid w:val="54B20C05"/>
    <w:rsid w:val="54BA9573"/>
    <w:rsid w:val="54C79F5E"/>
    <w:rsid w:val="54C7DEDD"/>
    <w:rsid w:val="54CAA27C"/>
    <w:rsid w:val="54D8CB09"/>
    <w:rsid w:val="54E50859"/>
    <w:rsid w:val="54EB5D3F"/>
    <w:rsid w:val="54EC99C8"/>
    <w:rsid w:val="55028A59"/>
    <w:rsid w:val="550E16EC"/>
    <w:rsid w:val="5512C8E9"/>
    <w:rsid w:val="5517E7F4"/>
    <w:rsid w:val="5521A722"/>
    <w:rsid w:val="5536F538"/>
    <w:rsid w:val="5549F5F3"/>
    <w:rsid w:val="554DA844"/>
    <w:rsid w:val="5561B83E"/>
    <w:rsid w:val="55722647"/>
    <w:rsid w:val="557B62BA"/>
    <w:rsid w:val="557C36C4"/>
    <w:rsid w:val="5583BD7B"/>
    <w:rsid w:val="55864D52"/>
    <w:rsid w:val="55A8F858"/>
    <w:rsid w:val="55BD2BF8"/>
    <w:rsid w:val="55C8DA9A"/>
    <w:rsid w:val="55CDD14E"/>
    <w:rsid w:val="55D25E2C"/>
    <w:rsid w:val="55E1B35A"/>
    <w:rsid w:val="55FDED00"/>
    <w:rsid w:val="5623E23A"/>
    <w:rsid w:val="563B19FD"/>
    <w:rsid w:val="5643AF05"/>
    <w:rsid w:val="5672D158"/>
    <w:rsid w:val="568D9725"/>
    <w:rsid w:val="568E69C0"/>
    <w:rsid w:val="56A329D3"/>
    <w:rsid w:val="56A81500"/>
    <w:rsid w:val="56B8D59D"/>
    <w:rsid w:val="56BF2F03"/>
    <w:rsid w:val="56BF458A"/>
    <w:rsid w:val="56EF0380"/>
    <w:rsid w:val="56F3F65B"/>
    <w:rsid w:val="56FD7969"/>
    <w:rsid w:val="570FC267"/>
    <w:rsid w:val="57113ED5"/>
    <w:rsid w:val="57221290"/>
    <w:rsid w:val="57267CAB"/>
    <w:rsid w:val="5732527F"/>
    <w:rsid w:val="5732B7C6"/>
    <w:rsid w:val="57584DD5"/>
    <w:rsid w:val="57588976"/>
    <w:rsid w:val="57644713"/>
    <w:rsid w:val="5771B046"/>
    <w:rsid w:val="578DF678"/>
    <w:rsid w:val="57A27C9A"/>
    <w:rsid w:val="57A65C0B"/>
    <w:rsid w:val="57BAFEEC"/>
    <w:rsid w:val="57C6F798"/>
    <w:rsid w:val="57CA120E"/>
    <w:rsid w:val="57E04831"/>
    <w:rsid w:val="57F746B7"/>
    <w:rsid w:val="57FFDD73"/>
    <w:rsid w:val="5807C76A"/>
    <w:rsid w:val="582CE6DA"/>
    <w:rsid w:val="582E3C1E"/>
    <w:rsid w:val="583F9214"/>
    <w:rsid w:val="58514261"/>
    <w:rsid w:val="58579F36"/>
    <w:rsid w:val="585A7485"/>
    <w:rsid w:val="585DEBF5"/>
    <w:rsid w:val="5876E86D"/>
    <w:rsid w:val="5885F3B8"/>
    <w:rsid w:val="588D0183"/>
    <w:rsid w:val="58925435"/>
    <w:rsid w:val="58989007"/>
    <w:rsid w:val="589CE802"/>
    <w:rsid w:val="58B393B7"/>
    <w:rsid w:val="58BDDAAF"/>
    <w:rsid w:val="58BF8DE8"/>
    <w:rsid w:val="58BFFC78"/>
    <w:rsid w:val="58C76111"/>
    <w:rsid w:val="58D24466"/>
    <w:rsid w:val="58D4918C"/>
    <w:rsid w:val="58D9F170"/>
    <w:rsid w:val="58DFAD64"/>
    <w:rsid w:val="58E4D7E8"/>
    <w:rsid w:val="58E832D2"/>
    <w:rsid w:val="58EA50DB"/>
    <w:rsid w:val="58EAA17A"/>
    <w:rsid w:val="58F9F16C"/>
    <w:rsid w:val="58FEB13C"/>
    <w:rsid w:val="58FEDDB6"/>
    <w:rsid w:val="59088E76"/>
    <w:rsid w:val="590DE4E9"/>
    <w:rsid w:val="591E9F96"/>
    <w:rsid w:val="59232FF8"/>
    <w:rsid w:val="59464DA3"/>
    <w:rsid w:val="59593B52"/>
    <w:rsid w:val="595D070E"/>
    <w:rsid w:val="596F2A93"/>
    <w:rsid w:val="5973ED3A"/>
    <w:rsid w:val="597FA76B"/>
    <w:rsid w:val="59B4C6A6"/>
    <w:rsid w:val="59B68EBF"/>
    <w:rsid w:val="59C72BCA"/>
    <w:rsid w:val="59CF58B9"/>
    <w:rsid w:val="59F67245"/>
    <w:rsid w:val="59F7531F"/>
    <w:rsid w:val="59F7BDC3"/>
    <w:rsid w:val="5A150FF4"/>
    <w:rsid w:val="5A1D2B49"/>
    <w:rsid w:val="5A1FA07D"/>
    <w:rsid w:val="5A21EE3E"/>
    <w:rsid w:val="5A233B6B"/>
    <w:rsid w:val="5A27EA01"/>
    <w:rsid w:val="5A2ED78D"/>
    <w:rsid w:val="5A5540D4"/>
    <w:rsid w:val="5A6875A7"/>
    <w:rsid w:val="5A6A406D"/>
    <w:rsid w:val="5A78CD1A"/>
    <w:rsid w:val="5A7EA812"/>
    <w:rsid w:val="5A8AB090"/>
    <w:rsid w:val="5A925A52"/>
    <w:rsid w:val="5A9CCFB9"/>
    <w:rsid w:val="5A9F6C33"/>
    <w:rsid w:val="5AA09F2D"/>
    <w:rsid w:val="5AAB7503"/>
    <w:rsid w:val="5AB097C7"/>
    <w:rsid w:val="5AB5F1F1"/>
    <w:rsid w:val="5AB8E9E6"/>
    <w:rsid w:val="5ABB07CF"/>
    <w:rsid w:val="5AF3D441"/>
    <w:rsid w:val="5B017F3E"/>
    <w:rsid w:val="5B0D2A80"/>
    <w:rsid w:val="5B1BF066"/>
    <w:rsid w:val="5B27B791"/>
    <w:rsid w:val="5B30B8F1"/>
    <w:rsid w:val="5B33CEBE"/>
    <w:rsid w:val="5B37938F"/>
    <w:rsid w:val="5B3DBFF2"/>
    <w:rsid w:val="5B4E3F7C"/>
    <w:rsid w:val="5B5B7BC0"/>
    <w:rsid w:val="5B643589"/>
    <w:rsid w:val="5B66491E"/>
    <w:rsid w:val="5B6D7470"/>
    <w:rsid w:val="5B7EF212"/>
    <w:rsid w:val="5B86277A"/>
    <w:rsid w:val="5B90899F"/>
    <w:rsid w:val="5BB8BEA7"/>
    <w:rsid w:val="5BC1FCBB"/>
    <w:rsid w:val="5BC82B0A"/>
    <w:rsid w:val="5BCEC762"/>
    <w:rsid w:val="5BCFA79C"/>
    <w:rsid w:val="5BD0D1D0"/>
    <w:rsid w:val="5BDAF942"/>
    <w:rsid w:val="5BF4F8A2"/>
    <w:rsid w:val="5C045D21"/>
    <w:rsid w:val="5C1DF718"/>
    <w:rsid w:val="5C20BB92"/>
    <w:rsid w:val="5C228F14"/>
    <w:rsid w:val="5C25A419"/>
    <w:rsid w:val="5C31890D"/>
    <w:rsid w:val="5C337470"/>
    <w:rsid w:val="5C53E5C9"/>
    <w:rsid w:val="5C54BCB1"/>
    <w:rsid w:val="5C6B145B"/>
    <w:rsid w:val="5C71CB20"/>
    <w:rsid w:val="5C74A6EC"/>
    <w:rsid w:val="5C872F43"/>
    <w:rsid w:val="5C8ADAC1"/>
    <w:rsid w:val="5C8D0498"/>
    <w:rsid w:val="5C8EB8D2"/>
    <w:rsid w:val="5C8F94AD"/>
    <w:rsid w:val="5C90FFF1"/>
    <w:rsid w:val="5CAA7028"/>
    <w:rsid w:val="5CAABB82"/>
    <w:rsid w:val="5CC22863"/>
    <w:rsid w:val="5CC9A516"/>
    <w:rsid w:val="5CCB7EF1"/>
    <w:rsid w:val="5CCC69E2"/>
    <w:rsid w:val="5CD31DF0"/>
    <w:rsid w:val="5CD9ADB5"/>
    <w:rsid w:val="5CDCC5AE"/>
    <w:rsid w:val="5CDFD0E8"/>
    <w:rsid w:val="5CE33517"/>
    <w:rsid w:val="5D065891"/>
    <w:rsid w:val="5D0B7AC3"/>
    <w:rsid w:val="5D210FCE"/>
    <w:rsid w:val="5D29FDE8"/>
    <w:rsid w:val="5D2EB007"/>
    <w:rsid w:val="5D35A534"/>
    <w:rsid w:val="5D36F0F9"/>
    <w:rsid w:val="5D37E798"/>
    <w:rsid w:val="5D3D822C"/>
    <w:rsid w:val="5D48A6CD"/>
    <w:rsid w:val="5D48D196"/>
    <w:rsid w:val="5D4A50A5"/>
    <w:rsid w:val="5D4E23C7"/>
    <w:rsid w:val="5D4FEB33"/>
    <w:rsid w:val="5D5C3796"/>
    <w:rsid w:val="5D88D3E2"/>
    <w:rsid w:val="5D892550"/>
    <w:rsid w:val="5DAAB0BE"/>
    <w:rsid w:val="5DC3874B"/>
    <w:rsid w:val="5DDB537D"/>
    <w:rsid w:val="5DE5F073"/>
    <w:rsid w:val="5DED6FEA"/>
    <w:rsid w:val="5DEF5CDC"/>
    <w:rsid w:val="5DEFCA0E"/>
    <w:rsid w:val="5DF1C5BB"/>
    <w:rsid w:val="5DF3C896"/>
    <w:rsid w:val="5DF91969"/>
    <w:rsid w:val="5DFC3023"/>
    <w:rsid w:val="5DFF7BB5"/>
    <w:rsid w:val="5E0290AE"/>
    <w:rsid w:val="5E05827A"/>
    <w:rsid w:val="5E24625B"/>
    <w:rsid w:val="5E2CD418"/>
    <w:rsid w:val="5E323447"/>
    <w:rsid w:val="5E35E822"/>
    <w:rsid w:val="5E3F65B2"/>
    <w:rsid w:val="5E44BC05"/>
    <w:rsid w:val="5E49E7C5"/>
    <w:rsid w:val="5E697746"/>
    <w:rsid w:val="5E6F6F36"/>
    <w:rsid w:val="5E717438"/>
    <w:rsid w:val="5E766500"/>
    <w:rsid w:val="5E788D22"/>
    <w:rsid w:val="5E82425E"/>
    <w:rsid w:val="5E88E35A"/>
    <w:rsid w:val="5E8ABA21"/>
    <w:rsid w:val="5E8DA7A4"/>
    <w:rsid w:val="5EA4D451"/>
    <w:rsid w:val="5EAA851E"/>
    <w:rsid w:val="5EAF0E6E"/>
    <w:rsid w:val="5EB7D9F6"/>
    <w:rsid w:val="5EB9167D"/>
    <w:rsid w:val="5EB9A631"/>
    <w:rsid w:val="5EC9D94B"/>
    <w:rsid w:val="5ECD8AE7"/>
    <w:rsid w:val="5ECE831A"/>
    <w:rsid w:val="5ED2F80A"/>
    <w:rsid w:val="5ED624DB"/>
    <w:rsid w:val="5EE09C60"/>
    <w:rsid w:val="5EE2C94A"/>
    <w:rsid w:val="5EE4F8C4"/>
    <w:rsid w:val="5EE929D4"/>
    <w:rsid w:val="5EF18C98"/>
    <w:rsid w:val="5EF43606"/>
    <w:rsid w:val="5EF70C3E"/>
    <w:rsid w:val="5EF77FA5"/>
    <w:rsid w:val="5EF89FB2"/>
    <w:rsid w:val="5EFAB600"/>
    <w:rsid w:val="5EFB1C08"/>
    <w:rsid w:val="5F03F4A6"/>
    <w:rsid w:val="5F104406"/>
    <w:rsid w:val="5F1A39AB"/>
    <w:rsid w:val="5F2CD1E6"/>
    <w:rsid w:val="5F3E9AC1"/>
    <w:rsid w:val="5F42B066"/>
    <w:rsid w:val="5F533BEF"/>
    <w:rsid w:val="5F5E11D2"/>
    <w:rsid w:val="5F654F8A"/>
    <w:rsid w:val="5F6E986A"/>
    <w:rsid w:val="5F7624D9"/>
    <w:rsid w:val="5F7CF4E1"/>
    <w:rsid w:val="5F7E8415"/>
    <w:rsid w:val="5F822AFD"/>
    <w:rsid w:val="5F836DD8"/>
    <w:rsid w:val="5F880D10"/>
    <w:rsid w:val="5F9CE210"/>
    <w:rsid w:val="5FCF0B58"/>
    <w:rsid w:val="5FF6CA58"/>
    <w:rsid w:val="5FFA642A"/>
    <w:rsid w:val="5FFDBA98"/>
    <w:rsid w:val="600311A4"/>
    <w:rsid w:val="600492B8"/>
    <w:rsid w:val="600FD58B"/>
    <w:rsid w:val="6016AF67"/>
    <w:rsid w:val="60302B2C"/>
    <w:rsid w:val="60340103"/>
    <w:rsid w:val="6050FEE9"/>
    <w:rsid w:val="6054DA7C"/>
    <w:rsid w:val="605BEE9C"/>
    <w:rsid w:val="6063961E"/>
    <w:rsid w:val="60640CCC"/>
    <w:rsid w:val="6064E61D"/>
    <w:rsid w:val="6064F90F"/>
    <w:rsid w:val="60699873"/>
    <w:rsid w:val="6076956F"/>
    <w:rsid w:val="607A0B53"/>
    <w:rsid w:val="607B70C2"/>
    <w:rsid w:val="607C080F"/>
    <w:rsid w:val="60836936"/>
    <w:rsid w:val="608BF23E"/>
    <w:rsid w:val="60A032D8"/>
    <w:rsid w:val="60AF6DD0"/>
    <w:rsid w:val="60B2C112"/>
    <w:rsid w:val="60CB06FA"/>
    <w:rsid w:val="60E57CB1"/>
    <w:rsid w:val="60E80D72"/>
    <w:rsid w:val="60EC3D19"/>
    <w:rsid w:val="60EE06D9"/>
    <w:rsid w:val="60F79C92"/>
    <w:rsid w:val="60FB3A68"/>
    <w:rsid w:val="611070DA"/>
    <w:rsid w:val="61109439"/>
    <w:rsid w:val="6114DABF"/>
    <w:rsid w:val="6117A9D8"/>
    <w:rsid w:val="6118D2CE"/>
    <w:rsid w:val="612E52BD"/>
    <w:rsid w:val="6132B3D3"/>
    <w:rsid w:val="6132EE14"/>
    <w:rsid w:val="6134D0C2"/>
    <w:rsid w:val="613CF048"/>
    <w:rsid w:val="613DB8FE"/>
    <w:rsid w:val="61482814"/>
    <w:rsid w:val="614BA5C0"/>
    <w:rsid w:val="61581207"/>
    <w:rsid w:val="615C406F"/>
    <w:rsid w:val="6160B8FB"/>
    <w:rsid w:val="61624676"/>
    <w:rsid w:val="616A412B"/>
    <w:rsid w:val="616DF7F3"/>
    <w:rsid w:val="61A92118"/>
    <w:rsid w:val="61AD2BF9"/>
    <w:rsid w:val="61C64F62"/>
    <w:rsid w:val="61C772D5"/>
    <w:rsid w:val="61D46964"/>
    <w:rsid w:val="61DBCD21"/>
    <w:rsid w:val="61DDD813"/>
    <w:rsid w:val="61EFDE05"/>
    <w:rsid w:val="61F0CA5F"/>
    <w:rsid w:val="61F1AC19"/>
    <w:rsid w:val="61F5C663"/>
    <w:rsid w:val="61FAB35F"/>
    <w:rsid w:val="622AF2EE"/>
    <w:rsid w:val="622CD0EA"/>
    <w:rsid w:val="623EF7AB"/>
    <w:rsid w:val="624D171B"/>
    <w:rsid w:val="62519243"/>
    <w:rsid w:val="62565012"/>
    <w:rsid w:val="625B7514"/>
    <w:rsid w:val="62771471"/>
    <w:rsid w:val="628419B1"/>
    <w:rsid w:val="62846658"/>
    <w:rsid w:val="6287EAE1"/>
    <w:rsid w:val="629C4E15"/>
    <w:rsid w:val="62A0228E"/>
    <w:rsid w:val="62C39BE6"/>
    <w:rsid w:val="62CD0F67"/>
    <w:rsid w:val="62D24D62"/>
    <w:rsid w:val="62D3668F"/>
    <w:rsid w:val="62D93A3C"/>
    <w:rsid w:val="62D9F397"/>
    <w:rsid w:val="62E29252"/>
    <w:rsid w:val="62EA4D12"/>
    <w:rsid w:val="6301B585"/>
    <w:rsid w:val="63070491"/>
    <w:rsid w:val="6308F816"/>
    <w:rsid w:val="6309D19C"/>
    <w:rsid w:val="6323A984"/>
    <w:rsid w:val="633CBC8D"/>
    <w:rsid w:val="63402CA8"/>
    <w:rsid w:val="63451F2A"/>
    <w:rsid w:val="6345C475"/>
    <w:rsid w:val="6346D2C8"/>
    <w:rsid w:val="635ABE34"/>
    <w:rsid w:val="635B9909"/>
    <w:rsid w:val="637581C5"/>
    <w:rsid w:val="63792B21"/>
    <w:rsid w:val="637A46D7"/>
    <w:rsid w:val="6380EC3A"/>
    <w:rsid w:val="6383D12A"/>
    <w:rsid w:val="638D369E"/>
    <w:rsid w:val="63A22F5B"/>
    <w:rsid w:val="63B1120E"/>
    <w:rsid w:val="63BB4D87"/>
    <w:rsid w:val="63C6E6BA"/>
    <w:rsid w:val="63C71353"/>
    <w:rsid w:val="63C7FC91"/>
    <w:rsid w:val="63F81838"/>
    <w:rsid w:val="63FC0C28"/>
    <w:rsid w:val="6400E305"/>
    <w:rsid w:val="6402A36F"/>
    <w:rsid w:val="6405E586"/>
    <w:rsid w:val="640AD8BF"/>
    <w:rsid w:val="64144BA2"/>
    <w:rsid w:val="64146CF3"/>
    <w:rsid w:val="6428C8D7"/>
    <w:rsid w:val="643781B9"/>
    <w:rsid w:val="644DF1C0"/>
    <w:rsid w:val="64549CEA"/>
    <w:rsid w:val="645BA19C"/>
    <w:rsid w:val="6464A1E3"/>
    <w:rsid w:val="646A61EE"/>
    <w:rsid w:val="64774CE6"/>
    <w:rsid w:val="64992210"/>
    <w:rsid w:val="649A6D2C"/>
    <w:rsid w:val="649C2CD5"/>
    <w:rsid w:val="64A2BE3F"/>
    <w:rsid w:val="64A89D50"/>
    <w:rsid w:val="64AE5A73"/>
    <w:rsid w:val="64BF343A"/>
    <w:rsid w:val="64D0D9F7"/>
    <w:rsid w:val="64DC5405"/>
    <w:rsid w:val="64E905AE"/>
    <w:rsid w:val="64EA706D"/>
    <w:rsid w:val="64F54AD3"/>
    <w:rsid w:val="64F741D3"/>
    <w:rsid w:val="64F85BF6"/>
    <w:rsid w:val="6513B4C0"/>
    <w:rsid w:val="6514E7FE"/>
    <w:rsid w:val="651D886C"/>
    <w:rsid w:val="652C42DA"/>
    <w:rsid w:val="653235C0"/>
    <w:rsid w:val="65439332"/>
    <w:rsid w:val="65450AC2"/>
    <w:rsid w:val="654AA757"/>
    <w:rsid w:val="654BF773"/>
    <w:rsid w:val="654C3913"/>
    <w:rsid w:val="65534935"/>
    <w:rsid w:val="65589575"/>
    <w:rsid w:val="655DDBBB"/>
    <w:rsid w:val="656C6F80"/>
    <w:rsid w:val="657A5876"/>
    <w:rsid w:val="657A6A3C"/>
    <w:rsid w:val="6583619F"/>
    <w:rsid w:val="6584C8FE"/>
    <w:rsid w:val="6595FD36"/>
    <w:rsid w:val="6597ECB3"/>
    <w:rsid w:val="659CA019"/>
    <w:rsid w:val="65A585E5"/>
    <w:rsid w:val="65B25AD6"/>
    <w:rsid w:val="65B3B795"/>
    <w:rsid w:val="65B6788B"/>
    <w:rsid w:val="65B6B8DB"/>
    <w:rsid w:val="65BCD315"/>
    <w:rsid w:val="65C0F93E"/>
    <w:rsid w:val="65CB9ACC"/>
    <w:rsid w:val="65E5DCBC"/>
    <w:rsid w:val="65EAD048"/>
    <w:rsid w:val="65FB4F31"/>
    <w:rsid w:val="6600B5C6"/>
    <w:rsid w:val="66070866"/>
    <w:rsid w:val="660E333A"/>
    <w:rsid w:val="6613766D"/>
    <w:rsid w:val="6625B28C"/>
    <w:rsid w:val="662D741D"/>
    <w:rsid w:val="66365994"/>
    <w:rsid w:val="66367DBD"/>
    <w:rsid w:val="66370C7B"/>
    <w:rsid w:val="66395723"/>
    <w:rsid w:val="66423913"/>
    <w:rsid w:val="6642BDDA"/>
    <w:rsid w:val="664FBD0A"/>
    <w:rsid w:val="66646A1F"/>
    <w:rsid w:val="66682C37"/>
    <w:rsid w:val="666A6010"/>
    <w:rsid w:val="66766CFF"/>
    <w:rsid w:val="667EE61A"/>
    <w:rsid w:val="668A766E"/>
    <w:rsid w:val="668A7FB0"/>
    <w:rsid w:val="6697CB77"/>
    <w:rsid w:val="66A2108E"/>
    <w:rsid w:val="66A3D7C8"/>
    <w:rsid w:val="66AA632E"/>
    <w:rsid w:val="66C3F115"/>
    <w:rsid w:val="66F7DCCA"/>
    <w:rsid w:val="67035B58"/>
    <w:rsid w:val="670CB99F"/>
    <w:rsid w:val="67136C4F"/>
    <w:rsid w:val="67152DB9"/>
    <w:rsid w:val="67196A7A"/>
    <w:rsid w:val="671F5002"/>
    <w:rsid w:val="673B0A8D"/>
    <w:rsid w:val="673BBCBA"/>
    <w:rsid w:val="6740DE79"/>
    <w:rsid w:val="6741CCE8"/>
    <w:rsid w:val="674C17A4"/>
    <w:rsid w:val="675DF872"/>
    <w:rsid w:val="676804AA"/>
    <w:rsid w:val="676D78C2"/>
    <w:rsid w:val="67875542"/>
    <w:rsid w:val="6794DD4F"/>
    <w:rsid w:val="67A3921B"/>
    <w:rsid w:val="67ADB3C8"/>
    <w:rsid w:val="67B0CC2F"/>
    <w:rsid w:val="67CF39D3"/>
    <w:rsid w:val="67CFB7FF"/>
    <w:rsid w:val="67D669EC"/>
    <w:rsid w:val="67D775FD"/>
    <w:rsid w:val="67D911D5"/>
    <w:rsid w:val="67DEA21D"/>
    <w:rsid w:val="67E3647B"/>
    <w:rsid w:val="67F5160C"/>
    <w:rsid w:val="67F7FA4F"/>
    <w:rsid w:val="67F980A9"/>
    <w:rsid w:val="681B2013"/>
    <w:rsid w:val="68355A17"/>
    <w:rsid w:val="683D02AD"/>
    <w:rsid w:val="68544B57"/>
    <w:rsid w:val="6855D9C3"/>
    <w:rsid w:val="68570E2A"/>
    <w:rsid w:val="685C2C5D"/>
    <w:rsid w:val="6861423B"/>
    <w:rsid w:val="6863D3B0"/>
    <w:rsid w:val="686D1A75"/>
    <w:rsid w:val="68822A8A"/>
    <w:rsid w:val="6892E3FA"/>
    <w:rsid w:val="68945AFB"/>
    <w:rsid w:val="68973231"/>
    <w:rsid w:val="68A0AC05"/>
    <w:rsid w:val="68A1BA36"/>
    <w:rsid w:val="68A1C39A"/>
    <w:rsid w:val="68AC2622"/>
    <w:rsid w:val="68B07606"/>
    <w:rsid w:val="68B23F3D"/>
    <w:rsid w:val="68B25F6B"/>
    <w:rsid w:val="68B576A7"/>
    <w:rsid w:val="68B6D8B3"/>
    <w:rsid w:val="68C2134D"/>
    <w:rsid w:val="68C77912"/>
    <w:rsid w:val="68CA0464"/>
    <w:rsid w:val="68CF1B35"/>
    <w:rsid w:val="68D60BC1"/>
    <w:rsid w:val="692C85A0"/>
    <w:rsid w:val="69323E11"/>
    <w:rsid w:val="69328E35"/>
    <w:rsid w:val="693696C1"/>
    <w:rsid w:val="695132EC"/>
    <w:rsid w:val="695C1C3A"/>
    <w:rsid w:val="6960869A"/>
    <w:rsid w:val="696CC163"/>
    <w:rsid w:val="696DC864"/>
    <w:rsid w:val="696FB903"/>
    <w:rsid w:val="69754622"/>
    <w:rsid w:val="6977C775"/>
    <w:rsid w:val="69790E01"/>
    <w:rsid w:val="6989B135"/>
    <w:rsid w:val="69B458BC"/>
    <w:rsid w:val="69B571FE"/>
    <w:rsid w:val="69BEF6CD"/>
    <w:rsid w:val="69DA6A8E"/>
    <w:rsid w:val="69E0E89C"/>
    <w:rsid w:val="69E50E49"/>
    <w:rsid w:val="69F1ABFD"/>
    <w:rsid w:val="69FAC271"/>
    <w:rsid w:val="6A130511"/>
    <w:rsid w:val="6A15DECA"/>
    <w:rsid w:val="6A1E7306"/>
    <w:rsid w:val="6A297B53"/>
    <w:rsid w:val="6A3F60AF"/>
    <w:rsid w:val="6A54A42A"/>
    <w:rsid w:val="6A5CC2DC"/>
    <w:rsid w:val="6A6207C9"/>
    <w:rsid w:val="6A67BD12"/>
    <w:rsid w:val="6A77D534"/>
    <w:rsid w:val="6A79AF3E"/>
    <w:rsid w:val="6A819F4B"/>
    <w:rsid w:val="6A82C96E"/>
    <w:rsid w:val="6A84F37C"/>
    <w:rsid w:val="6A87B85A"/>
    <w:rsid w:val="6A8874DC"/>
    <w:rsid w:val="6A9C90BA"/>
    <w:rsid w:val="6A9E3243"/>
    <w:rsid w:val="6AA971D0"/>
    <w:rsid w:val="6AAD6907"/>
    <w:rsid w:val="6AAE618A"/>
    <w:rsid w:val="6ABB58DA"/>
    <w:rsid w:val="6ACE40BE"/>
    <w:rsid w:val="6ADEC36D"/>
    <w:rsid w:val="6AF4A1A3"/>
    <w:rsid w:val="6AF50B3B"/>
    <w:rsid w:val="6AFACF88"/>
    <w:rsid w:val="6AFE13DC"/>
    <w:rsid w:val="6B0FBA72"/>
    <w:rsid w:val="6B2824BD"/>
    <w:rsid w:val="6B3022D6"/>
    <w:rsid w:val="6B33B153"/>
    <w:rsid w:val="6B34512E"/>
    <w:rsid w:val="6B36988B"/>
    <w:rsid w:val="6B379D60"/>
    <w:rsid w:val="6B3CBBC6"/>
    <w:rsid w:val="6B506396"/>
    <w:rsid w:val="6B529AC3"/>
    <w:rsid w:val="6B567854"/>
    <w:rsid w:val="6B58B43B"/>
    <w:rsid w:val="6B5B7F2F"/>
    <w:rsid w:val="6B605AD8"/>
    <w:rsid w:val="6B61F12B"/>
    <w:rsid w:val="6B635549"/>
    <w:rsid w:val="6B6441F1"/>
    <w:rsid w:val="6B6E83BD"/>
    <w:rsid w:val="6B720295"/>
    <w:rsid w:val="6B7657BD"/>
    <w:rsid w:val="6B785BB4"/>
    <w:rsid w:val="6B79A2BC"/>
    <w:rsid w:val="6B83CF0B"/>
    <w:rsid w:val="6B8808DF"/>
    <w:rsid w:val="6B90925D"/>
    <w:rsid w:val="6B91972C"/>
    <w:rsid w:val="6B9737AF"/>
    <w:rsid w:val="6BB7C435"/>
    <w:rsid w:val="6BBC710B"/>
    <w:rsid w:val="6BBF88D4"/>
    <w:rsid w:val="6BC2055E"/>
    <w:rsid w:val="6BC7A20D"/>
    <w:rsid w:val="6BCF3E71"/>
    <w:rsid w:val="6BD80814"/>
    <w:rsid w:val="6BD83319"/>
    <w:rsid w:val="6BDDF813"/>
    <w:rsid w:val="6BE114FD"/>
    <w:rsid w:val="6BE7C688"/>
    <w:rsid w:val="6C03A592"/>
    <w:rsid w:val="6C0910BC"/>
    <w:rsid w:val="6C09F2DE"/>
    <w:rsid w:val="6C27737B"/>
    <w:rsid w:val="6C2C38E9"/>
    <w:rsid w:val="6C3D84A9"/>
    <w:rsid w:val="6C3DB336"/>
    <w:rsid w:val="6C48AD02"/>
    <w:rsid w:val="6C497DBF"/>
    <w:rsid w:val="6C4B6419"/>
    <w:rsid w:val="6C5820C1"/>
    <w:rsid w:val="6C5E4867"/>
    <w:rsid w:val="6C7A78F2"/>
    <w:rsid w:val="6C844453"/>
    <w:rsid w:val="6C8FDBE8"/>
    <w:rsid w:val="6C96ED9B"/>
    <w:rsid w:val="6C991573"/>
    <w:rsid w:val="6C9E8518"/>
    <w:rsid w:val="6CA35189"/>
    <w:rsid w:val="6CB91877"/>
    <w:rsid w:val="6CBD6C6D"/>
    <w:rsid w:val="6CC3C382"/>
    <w:rsid w:val="6CCC9648"/>
    <w:rsid w:val="6CD30AA1"/>
    <w:rsid w:val="6CD5EE9F"/>
    <w:rsid w:val="6CD90FF8"/>
    <w:rsid w:val="6D13370D"/>
    <w:rsid w:val="6D21AE58"/>
    <w:rsid w:val="6D30F2B8"/>
    <w:rsid w:val="6D321F4D"/>
    <w:rsid w:val="6D36B30A"/>
    <w:rsid w:val="6D3990FF"/>
    <w:rsid w:val="6D39F7D7"/>
    <w:rsid w:val="6D47312F"/>
    <w:rsid w:val="6D4F1BBB"/>
    <w:rsid w:val="6D5E76FE"/>
    <w:rsid w:val="6D5FEF4A"/>
    <w:rsid w:val="6D66E7AD"/>
    <w:rsid w:val="6D673EC0"/>
    <w:rsid w:val="6D751EE5"/>
    <w:rsid w:val="6D7647C4"/>
    <w:rsid w:val="6D7BD1DD"/>
    <w:rsid w:val="6D919008"/>
    <w:rsid w:val="6DA21B8F"/>
    <w:rsid w:val="6DA2C0BA"/>
    <w:rsid w:val="6DAA7F72"/>
    <w:rsid w:val="6DBEBA2C"/>
    <w:rsid w:val="6DFAC6BA"/>
    <w:rsid w:val="6E091E49"/>
    <w:rsid w:val="6E1BE223"/>
    <w:rsid w:val="6E1FCE8B"/>
    <w:rsid w:val="6E207DC1"/>
    <w:rsid w:val="6E2C08BA"/>
    <w:rsid w:val="6E37477B"/>
    <w:rsid w:val="6E37A10C"/>
    <w:rsid w:val="6E48D689"/>
    <w:rsid w:val="6E4A62CA"/>
    <w:rsid w:val="6E54860B"/>
    <w:rsid w:val="6E776A93"/>
    <w:rsid w:val="6E7ABD10"/>
    <w:rsid w:val="6E9BC789"/>
    <w:rsid w:val="6E9E8E79"/>
    <w:rsid w:val="6EA9F417"/>
    <w:rsid w:val="6EAF95D8"/>
    <w:rsid w:val="6EAFD409"/>
    <w:rsid w:val="6EC2F636"/>
    <w:rsid w:val="6ED88021"/>
    <w:rsid w:val="6EDEFC8C"/>
    <w:rsid w:val="6EDFFE14"/>
    <w:rsid w:val="6EE9AED1"/>
    <w:rsid w:val="6EECAE23"/>
    <w:rsid w:val="6EFE2EB5"/>
    <w:rsid w:val="6EFE370E"/>
    <w:rsid w:val="6F052C8B"/>
    <w:rsid w:val="6F15C0F3"/>
    <w:rsid w:val="6F175C3C"/>
    <w:rsid w:val="6F1EDEF3"/>
    <w:rsid w:val="6F2CB89C"/>
    <w:rsid w:val="6F2F07FC"/>
    <w:rsid w:val="6F331385"/>
    <w:rsid w:val="6F3C6A21"/>
    <w:rsid w:val="6F4376FF"/>
    <w:rsid w:val="6F4CD53D"/>
    <w:rsid w:val="6F5F0BB7"/>
    <w:rsid w:val="6F601633"/>
    <w:rsid w:val="6F6639EA"/>
    <w:rsid w:val="6F75A4F6"/>
    <w:rsid w:val="6F7B72E9"/>
    <w:rsid w:val="6F7BBC31"/>
    <w:rsid w:val="6F8995DC"/>
    <w:rsid w:val="6F8EC9F6"/>
    <w:rsid w:val="6F9108D4"/>
    <w:rsid w:val="6FBBA4D1"/>
    <w:rsid w:val="6FBCD940"/>
    <w:rsid w:val="6FC663E3"/>
    <w:rsid w:val="6FCFA7FE"/>
    <w:rsid w:val="6FD6478D"/>
    <w:rsid w:val="6FE3A9D5"/>
    <w:rsid w:val="6FED8412"/>
    <w:rsid w:val="7003B998"/>
    <w:rsid w:val="7005D71B"/>
    <w:rsid w:val="7008168C"/>
    <w:rsid w:val="70182D19"/>
    <w:rsid w:val="7032B9AF"/>
    <w:rsid w:val="703C9A3E"/>
    <w:rsid w:val="7041C47A"/>
    <w:rsid w:val="704F737E"/>
    <w:rsid w:val="7068DCE3"/>
    <w:rsid w:val="706998B1"/>
    <w:rsid w:val="706E2129"/>
    <w:rsid w:val="706F1F16"/>
    <w:rsid w:val="70819250"/>
    <w:rsid w:val="708B65A5"/>
    <w:rsid w:val="708BF458"/>
    <w:rsid w:val="70A2B41E"/>
    <w:rsid w:val="70AB1CAF"/>
    <w:rsid w:val="70B53B00"/>
    <w:rsid w:val="70BC24E1"/>
    <w:rsid w:val="70BE7CE3"/>
    <w:rsid w:val="70C8A13B"/>
    <w:rsid w:val="70D946B0"/>
    <w:rsid w:val="70DA3374"/>
    <w:rsid w:val="7108D605"/>
    <w:rsid w:val="71095E67"/>
    <w:rsid w:val="71146E79"/>
    <w:rsid w:val="7114A661"/>
    <w:rsid w:val="71159996"/>
    <w:rsid w:val="7120AEDF"/>
    <w:rsid w:val="712875F5"/>
    <w:rsid w:val="712876BB"/>
    <w:rsid w:val="7128B946"/>
    <w:rsid w:val="7140A877"/>
    <w:rsid w:val="7144110D"/>
    <w:rsid w:val="714AE4FA"/>
    <w:rsid w:val="71573154"/>
    <w:rsid w:val="715E18A3"/>
    <w:rsid w:val="71609EFD"/>
    <w:rsid w:val="7162E476"/>
    <w:rsid w:val="71AADF82"/>
    <w:rsid w:val="71B8E18E"/>
    <w:rsid w:val="71CB1DC1"/>
    <w:rsid w:val="71D159C4"/>
    <w:rsid w:val="71D249F0"/>
    <w:rsid w:val="71E74E6D"/>
    <w:rsid w:val="72090E12"/>
    <w:rsid w:val="72161DC5"/>
    <w:rsid w:val="72269692"/>
    <w:rsid w:val="724827D7"/>
    <w:rsid w:val="725B6D25"/>
    <w:rsid w:val="725BD25A"/>
    <w:rsid w:val="72692DEF"/>
    <w:rsid w:val="72740F9A"/>
    <w:rsid w:val="728DDAAB"/>
    <w:rsid w:val="7294B6C9"/>
    <w:rsid w:val="7297D400"/>
    <w:rsid w:val="729A337C"/>
    <w:rsid w:val="72A2B82F"/>
    <w:rsid w:val="72AB4DB2"/>
    <w:rsid w:val="72ABBD81"/>
    <w:rsid w:val="72AEE107"/>
    <w:rsid w:val="72B52B85"/>
    <w:rsid w:val="72CA8DBA"/>
    <w:rsid w:val="72CD625C"/>
    <w:rsid w:val="72F5B313"/>
    <w:rsid w:val="72F8290C"/>
    <w:rsid w:val="7305DC32"/>
    <w:rsid w:val="7334A895"/>
    <w:rsid w:val="734C154E"/>
    <w:rsid w:val="736E14E8"/>
    <w:rsid w:val="738B40C4"/>
    <w:rsid w:val="739F45C2"/>
    <w:rsid w:val="73B7F7AD"/>
    <w:rsid w:val="73BAC3C0"/>
    <w:rsid w:val="73CEC220"/>
    <w:rsid w:val="73D6F3E2"/>
    <w:rsid w:val="73DB7588"/>
    <w:rsid w:val="73E38FA0"/>
    <w:rsid w:val="73EA08C2"/>
    <w:rsid w:val="740045A8"/>
    <w:rsid w:val="741231A5"/>
    <w:rsid w:val="741E72FE"/>
    <w:rsid w:val="74258EBA"/>
    <w:rsid w:val="742B4391"/>
    <w:rsid w:val="742DBE8B"/>
    <w:rsid w:val="742FA926"/>
    <w:rsid w:val="74310285"/>
    <w:rsid w:val="74314BAD"/>
    <w:rsid w:val="7456F236"/>
    <w:rsid w:val="746FE552"/>
    <w:rsid w:val="748A961D"/>
    <w:rsid w:val="7498FB50"/>
    <w:rsid w:val="74AD7180"/>
    <w:rsid w:val="74B5C369"/>
    <w:rsid w:val="74C64ED0"/>
    <w:rsid w:val="74C8AE54"/>
    <w:rsid w:val="74CB35EA"/>
    <w:rsid w:val="74DAD409"/>
    <w:rsid w:val="74DFC829"/>
    <w:rsid w:val="74E15BB1"/>
    <w:rsid w:val="74E24DF6"/>
    <w:rsid w:val="74E61A37"/>
    <w:rsid w:val="74E76A64"/>
    <w:rsid w:val="74EACA4F"/>
    <w:rsid w:val="74F0F327"/>
    <w:rsid w:val="74FC9ACF"/>
    <w:rsid w:val="7504BF60"/>
    <w:rsid w:val="7506D943"/>
    <w:rsid w:val="751D540E"/>
    <w:rsid w:val="75213AFE"/>
    <w:rsid w:val="752F6576"/>
    <w:rsid w:val="754A595A"/>
    <w:rsid w:val="7567A070"/>
    <w:rsid w:val="7567A803"/>
    <w:rsid w:val="7579A34D"/>
    <w:rsid w:val="759B1971"/>
    <w:rsid w:val="75A1BB82"/>
    <w:rsid w:val="75A93473"/>
    <w:rsid w:val="75B3F0FC"/>
    <w:rsid w:val="75B42F6E"/>
    <w:rsid w:val="75D3444F"/>
    <w:rsid w:val="75D51CDD"/>
    <w:rsid w:val="75DA693B"/>
    <w:rsid w:val="75DF77B3"/>
    <w:rsid w:val="75E0E7EA"/>
    <w:rsid w:val="75ECEBF7"/>
    <w:rsid w:val="75F84828"/>
    <w:rsid w:val="75FC250D"/>
    <w:rsid w:val="7604BEC7"/>
    <w:rsid w:val="760A2D49"/>
    <w:rsid w:val="7622092B"/>
    <w:rsid w:val="7623F402"/>
    <w:rsid w:val="76246F36"/>
    <w:rsid w:val="76258974"/>
    <w:rsid w:val="7627DFE6"/>
    <w:rsid w:val="763CBF41"/>
    <w:rsid w:val="765C9840"/>
    <w:rsid w:val="765E91F4"/>
    <w:rsid w:val="7668D640"/>
    <w:rsid w:val="766E9D22"/>
    <w:rsid w:val="76724FC7"/>
    <w:rsid w:val="76773534"/>
    <w:rsid w:val="76912212"/>
    <w:rsid w:val="76944622"/>
    <w:rsid w:val="769884B9"/>
    <w:rsid w:val="76C6D8DD"/>
    <w:rsid w:val="76C8FD97"/>
    <w:rsid w:val="76D10C76"/>
    <w:rsid w:val="76D3B9BE"/>
    <w:rsid w:val="76D4EDF7"/>
    <w:rsid w:val="76E4686D"/>
    <w:rsid w:val="76E4B28B"/>
    <w:rsid w:val="76E7549E"/>
    <w:rsid w:val="76EAA750"/>
    <w:rsid w:val="76EBCB56"/>
    <w:rsid w:val="76EE5779"/>
    <w:rsid w:val="76FE6804"/>
    <w:rsid w:val="77091B69"/>
    <w:rsid w:val="770F032C"/>
    <w:rsid w:val="77168D36"/>
    <w:rsid w:val="771CC19A"/>
    <w:rsid w:val="77223DBA"/>
    <w:rsid w:val="7734E180"/>
    <w:rsid w:val="77400E1E"/>
    <w:rsid w:val="7748E86B"/>
    <w:rsid w:val="7759C924"/>
    <w:rsid w:val="7764B73C"/>
    <w:rsid w:val="776E3022"/>
    <w:rsid w:val="7774B271"/>
    <w:rsid w:val="777B9DAC"/>
    <w:rsid w:val="7783EC8F"/>
    <w:rsid w:val="7786B263"/>
    <w:rsid w:val="779BCD35"/>
    <w:rsid w:val="779E2BA9"/>
    <w:rsid w:val="77BB1EB3"/>
    <w:rsid w:val="77C452CA"/>
    <w:rsid w:val="77C62F34"/>
    <w:rsid w:val="77CFB1AA"/>
    <w:rsid w:val="77D91BC7"/>
    <w:rsid w:val="77DFF7D4"/>
    <w:rsid w:val="77E4AD6B"/>
    <w:rsid w:val="77F3BA34"/>
    <w:rsid w:val="77F4ED30"/>
    <w:rsid w:val="780078FD"/>
    <w:rsid w:val="7816CE87"/>
    <w:rsid w:val="781AF940"/>
    <w:rsid w:val="781D823E"/>
    <w:rsid w:val="7839DBD7"/>
    <w:rsid w:val="784731EF"/>
    <w:rsid w:val="7849CC8B"/>
    <w:rsid w:val="784AA744"/>
    <w:rsid w:val="784E68FD"/>
    <w:rsid w:val="787D6E0B"/>
    <w:rsid w:val="78A2BAFE"/>
    <w:rsid w:val="78AD0C2B"/>
    <w:rsid w:val="78AD7DC7"/>
    <w:rsid w:val="78AEBC9C"/>
    <w:rsid w:val="78B20662"/>
    <w:rsid w:val="78B2FC43"/>
    <w:rsid w:val="78B8E0DA"/>
    <w:rsid w:val="78C3AFA7"/>
    <w:rsid w:val="78C52352"/>
    <w:rsid w:val="78DE202E"/>
    <w:rsid w:val="78ED2A63"/>
    <w:rsid w:val="78ED9850"/>
    <w:rsid w:val="78F1D24E"/>
    <w:rsid w:val="78F416A0"/>
    <w:rsid w:val="78FCE0EB"/>
    <w:rsid w:val="7903EE4E"/>
    <w:rsid w:val="7906C63B"/>
    <w:rsid w:val="792498D2"/>
    <w:rsid w:val="792A4EF7"/>
    <w:rsid w:val="79356042"/>
    <w:rsid w:val="7939F38A"/>
    <w:rsid w:val="793AB61C"/>
    <w:rsid w:val="793F2F00"/>
    <w:rsid w:val="795B3F9B"/>
    <w:rsid w:val="7963EA91"/>
    <w:rsid w:val="7965CA45"/>
    <w:rsid w:val="79721077"/>
    <w:rsid w:val="79732855"/>
    <w:rsid w:val="7973643A"/>
    <w:rsid w:val="797C5140"/>
    <w:rsid w:val="7993C58F"/>
    <w:rsid w:val="79A435B3"/>
    <w:rsid w:val="79AB5BB2"/>
    <w:rsid w:val="79D15F4D"/>
    <w:rsid w:val="79E3A6D0"/>
    <w:rsid w:val="79EFFBAC"/>
    <w:rsid w:val="79F23C1B"/>
    <w:rsid w:val="79F2DEFD"/>
    <w:rsid w:val="79F9318F"/>
    <w:rsid w:val="7A1300AC"/>
    <w:rsid w:val="7A24316F"/>
    <w:rsid w:val="7A423542"/>
    <w:rsid w:val="7A470C5C"/>
    <w:rsid w:val="7A5D57EC"/>
    <w:rsid w:val="7A5EAF79"/>
    <w:rsid w:val="7A6DCB28"/>
    <w:rsid w:val="7A70ECE3"/>
    <w:rsid w:val="7A7E08BB"/>
    <w:rsid w:val="7A83AB10"/>
    <w:rsid w:val="7A85DE9F"/>
    <w:rsid w:val="7AA2F577"/>
    <w:rsid w:val="7AA3564F"/>
    <w:rsid w:val="7AA3D34D"/>
    <w:rsid w:val="7AA51E71"/>
    <w:rsid w:val="7AA81223"/>
    <w:rsid w:val="7AB5BCE3"/>
    <w:rsid w:val="7AB93BB1"/>
    <w:rsid w:val="7ABB915E"/>
    <w:rsid w:val="7ACFCDA0"/>
    <w:rsid w:val="7AD6E987"/>
    <w:rsid w:val="7ADCA05E"/>
    <w:rsid w:val="7AE037BE"/>
    <w:rsid w:val="7AE755E4"/>
    <w:rsid w:val="7AF7029E"/>
    <w:rsid w:val="7B030D71"/>
    <w:rsid w:val="7B13D372"/>
    <w:rsid w:val="7B2B0047"/>
    <w:rsid w:val="7B3B2CF4"/>
    <w:rsid w:val="7B40446D"/>
    <w:rsid w:val="7B42067D"/>
    <w:rsid w:val="7B45737F"/>
    <w:rsid w:val="7B5176C6"/>
    <w:rsid w:val="7B5CF737"/>
    <w:rsid w:val="7B625E48"/>
    <w:rsid w:val="7B728C76"/>
    <w:rsid w:val="7B7F3C2F"/>
    <w:rsid w:val="7B84CA41"/>
    <w:rsid w:val="7B84D839"/>
    <w:rsid w:val="7B9C0511"/>
    <w:rsid w:val="7BA5F738"/>
    <w:rsid w:val="7BAFBE31"/>
    <w:rsid w:val="7BB06618"/>
    <w:rsid w:val="7BB23A29"/>
    <w:rsid w:val="7BB3A348"/>
    <w:rsid w:val="7BBB9A4F"/>
    <w:rsid w:val="7BCE76CE"/>
    <w:rsid w:val="7BDADBB4"/>
    <w:rsid w:val="7BE5AF68"/>
    <w:rsid w:val="7BE8E16C"/>
    <w:rsid w:val="7BE947B1"/>
    <w:rsid w:val="7BFDE8DC"/>
    <w:rsid w:val="7BFF4F27"/>
    <w:rsid w:val="7C049273"/>
    <w:rsid w:val="7C0C2C64"/>
    <w:rsid w:val="7C23BA9F"/>
    <w:rsid w:val="7C244DF9"/>
    <w:rsid w:val="7C24FDBC"/>
    <w:rsid w:val="7C288FAB"/>
    <w:rsid w:val="7C28EB25"/>
    <w:rsid w:val="7C30A0C3"/>
    <w:rsid w:val="7C32060A"/>
    <w:rsid w:val="7C389FE1"/>
    <w:rsid w:val="7C529FDB"/>
    <w:rsid w:val="7C550A3A"/>
    <w:rsid w:val="7C557B97"/>
    <w:rsid w:val="7C5E646B"/>
    <w:rsid w:val="7C60A4E3"/>
    <w:rsid w:val="7C6A3611"/>
    <w:rsid w:val="7C6A5B41"/>
    <w:rsid w:val="7C740B15"/>
    <w:rsid w:val="7C7C668D"/>
    <w:rsid w:val="7C8478FA"/>
    <w:rsid w:val="7C9AE6CF"/>
    <w:rsid w:val="7CA53A37"/>
    <w:rsid w:val="7CB715DB"/>
    <w:rsid w:val="7CB8CADC"/>
    <w:rsid w:val="7CC01DC1"/>
    <w:rsid w:val="7CCEE569"/>
    <w:rsid w:val="7CD3EED2"/>
    <w:rsid w:val="7CE0C73B"/>
    <w:rsid w:val="7CE78A92"/>
    <w:rsid w:val="7CE97202"/>
    <w:rsid w:val="7CF0E7A9"/>
    <w:rsid w:val="7CF37D2A"/>
    <w:rsid w:val="7D1573DE"/>
    <w:rsid w:val="7D24E0A3"/>
    <w:rsid w:val="7D2BEA46"/>
    <w:rsid w:val="7D2D874F"/>
    <w:rsid w:val="7D3AD393"/>
    <w:rsid w:val="7D49AE91"/>
    <w:rsid w:val="7D4CF64D"/>
    <w:rsid w:val="7D58D369"/>
    <w:rsid w:val="7D61A7E4"/>
    <w:rsid w:val="7D7B3C05"/>
    <w:rsid w:val="7D7E6F2F"/>
    <w:rsid w:val="7D8B3BFE"/>
    <w:rsid w:val="7D8D4605"/>
    <w:rsid w:val="7D914887"/>
    <w:rsid w:val="7DA846B4"/>
    <w:rsid w:val="7DAC1527"/>
    <w:rsid w:val="7DAE7F48"/>
    <w:rsid w:val="7DF26EE3"/>
    <w:rsid w:val="7DF2E86E"/>
    <w:rsid w:val="7DFD7CC7"/>
    <w:rsid w:val="7E02C044"/>
    <w:rsid w:val="7E10336E"/>
    <w:rsid w:val="7E170769"/>
    <w:rsid w:val="7E3A0DC0"/>
    <w:rsid w:val="7E71C2BC"/>
    <w:rsid w:val="7E81C656"/>
    <w:rsid w:val="7E888C04"/>
    <w:rsid w:val="7E8D9F34"/>
    <w:rsid w:val="7E90D466"/>
    <w:rsid w:val="7E926D19"/>
    <w:rsid w:val="7EBAA850"/>
    <w:rsid w:val="7ECC760F"/>
    <w:rsid w:val="7ECD9949"/>
    <w:rsid w:val="7ECDDA7F"/>
    <w:rsid w:val="7ECE3BF1"/>
    <w:rsid w:val="7ECE423A"/>
    <w:rsid w:val="7ED5A2B0"/>
    <w:rsid w:val="7EE79BB1"/>
    <w:rsid w:val="7EE9B4F1"/>
    <w:rsid w:val="7EEC7FAB"/>
    <w:rsid w:val="7EFB4E2F"/>
    <w:rsid w:val="7EFD7D39"/>
    <w:rsid w:val="7F210108"/>
    <w:rsid w:val="7F25DCE3"/>
    <w:rsid w:val="7F264932"/>
    <w:rsid w:val="7F38D759"/>
    <w:rsid w:val="7F4E97CE"/>
    <w:rsid w:val="7F60F91E"/>
    <w:rsid w:val="7F916D1B"/>
    <w:rsid w:val="7FA3884F"/>
    <w:rsid w:val="7FA8C11C"/>
    <w:rsid w:val="7FB4E8C6"/>
    <w:rsid w:val="7FB93758"/>
    <w:rsid w:val="7FB9E6C7"/>
    <w:rsid w:val="7FC3C41C"/>
    <w:rsid w:val="7FDB526A"/>
    <w:rsid w:val="7FF26C58"/>
    <w:rsid w:val="7FF2F76D"/>
    <w:rsid w:val="7FF55879"/>
    <w:rsid w:val="7FF6831A"/>
    <w:rsid w:val="7FFE49F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953351"/>
  <w15:docId w15:val="{78B9D0A0-B762-423F-B260-65179C871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4AB"/>
    <w:pPr>
      <w:spacing w:before="120" w:after="120"/>
    </w:pPr>
    <w:rPr>
      <w:rFonts w:cs="Arial"/>
      <w:sz w:val="24"/>
      <w:szCs w:val="24"/>
    </w:rPr>
  </w:style>
  <w:style w:type="paragraph" w:styleId="Heading1">
    <w:name w:val="heading 1"/>
    <w:basedOn w:val="Normal"/>
    <w:next w:val="Normal"/>
    <w:link w:val="Heading1Char"/>
    <w:uiPriority w:val="9"/>
    <w:qFormat/>
    <w:rsid w:val="00500CE7"/>
    <w:pPr>
      <w:keepNext/>
      <w:keepLines/>
      <w:numPr>
        <w:numId w:val="32"/>
      </w:numPr>
      <w:spacing w:before="360" w:after="240"/>
      <w:outlineLvl w:val="0"/>
    </w:pPr>
    <w:rPr>
      <w:rFonts w:eastAsiaTheme="majorEastAsia"/>
      <w:b/>
      <w:bCs/>
      <w:sz w:val="32"/>
      <w:szCs w:val="32"/>
    </w:rPr>
  </w:style>
  <w:style w:type="paragraph" w:styleId="Heading2">
    <w:name w:val="heading 2"/>
    <w:basedOn w:val="Normal"/>
    <w:next w:val="Normal"/>
    <w:link w:val="Heading2Char"/>
    <w:uiPriority w:val="9"/>
    <w:unhideWhenUsed/>
    <w:qFormat/>
    <w:rsid w:val="00033B54"/>
    <w:pPr>
      <w:keepNext/>
      <w:keepLines/>
      <w:numPr>
        <w:ilvl w:val="1"/>
        <w:numId w:val="5"/>
      </w:numPr>
      <w:spacing w:before="200"/>
      <w:outlineLvl w:val="1"/>
    </w:pPr>
    <w:rPr>
      <w:rFonts w:eastAsiaTheme="majorEastAsia"/>
      <w:b/>
      <w:bCs/>
      <w:color w:val="2D7C82"/>
      <w:sz w:val="28"/>
      <w:szCs w:val="28"/>
    </w:rPr>
  </w:style>
  <w:style w:type="paragraph" w:styleId="Heading3">
    <w:name w:val="heading 3"/>
    <w:basedOn w:val="Normal"/>
    <w:next w:val="Normal"/>
    <w:link w:val="Heading3Char"/>
    <w:uiPriority w:val="9"/>
    <w:unhideWhenUsed/>
    <w:qFormat/>
    <w:rsid w:val="003C347B"/>
    <w:pPr>
      <w:numPr>
        <w:ilvl w:val="2"/>
        <w:numId w:val="5"/>
      </w:numPr>
      <w:outlineLvl w:val="2"/>
    </w:pPr>
    <w:rPr>
      <w:b/>
    </w:rPr>
  </w:style>
  <w:style w:type="paragraph" w:styleId="Heading4">
    <w:name w:val="heading 4"/>
    <w:basedOn w:val="Normal"/>
    <w:next w:val="Normal"/>
    <w:link w:val="Heading4Char"/>
    <w:uiPriority w:val="9"/>
    <w:semiHidden/>
    <w:unhideWhenUsed/>
    <w:rsid w:val="00EF3DD0"/>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F3DD0"/>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F3DD0"/>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F3DD0"/>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F3DD0"/>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F3DD0"/>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0CE7"/>
    <w:rPr>
      <w:rFonts w:eastAsiaTheme="majorEastAsia" w:cs="Arial"/>
      <w:b/>
      <w:bCs/>
      <w:sz w:val="32"/>
      <w:szCs w:val="32"/>
    </w:rPr>
  </w:style>
  <w:style w:type="paragraph" w:styleId="BalloonText">
    <w:name w:val="Balloon Text"/>
    <w:basedOn w:val="Normal"/>
    <w:link w:val="BalloonTextChar"/>
    <w:uiPriority w:val="99"/>
    <w:semiHidden/>
    <w:unhideWhenUsed/>
    <w:rsid w:val="00956E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E1A"/>
    <w:rPr>
      <w:rFonts w:ascii="Tahoma" w:hAnsi="Tahoma" w:cs="Tahoma"/>
      <w:sz w:val="16"/>
      <w:szCs w:val="16"/>
    </w:rPr>
  </w:style>
  <w:style w:type="character" w:customStyle="1" w:styleId="Heading2Char">
    <w:name w:val="Heading 2 Char"/>
    <w:basedOn w:val="DefaultParagraphFont"/>
    <w:link w:val="Heading2"/>
    <w:uiPriority w:val="9"/>
    <w:rsid w:val="00033B54"/>
    <w:rPr>
      <w:rFonts w:eastAsiaTheme="majorEastAsia" w:cs="Arial"/>
      <w:b/>
      <w:bCs/>
      <w:color w:val="2D7C82"/>
      <w:sz w:val="28"/>
      <w:szCs w:val="28"/>
    </w:rPr>
  </w:style>
  <w:style w:type="paragraph" w:styleId="TOCHeading">
    <w:name w:val="TOC Heading"/>
    <w:basedOn w:val="Heading1"/>
    <w:next w:val="Normal"/>
    <w:uiPriority w:val="39"/>
    <w:semiHidden/>
    <w:unhideWhenUsed/>
    <w:qFormat/>
    <w:rsid w:val="00F2326E"/>
    <w:pPr>
      <w:spacing w:before="480" w:after="0"/>
      <w:outlineLvl w:val="9"/>
    </w:pPr>
    <w:rPr>
      <w:rFonts w:asciiTheme="majorHAnsi"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qFormat/>
    <w:rsid w:val="00302727"/>
    <w:pPr>
      <w:spacing w:before="360" w:after="240"/>
    </w:pPr>
    <w:rPr>
      <w:b/>
      <w:sz w:val="32"/>
    </w:rPr>
  </w:style>
  <w:style w:type="paragraph" w:styleId="TOC2">
    <w:name w:val="toc 2"/>
    <w:basedOn w:val="Normal"/>
    <w:next w:val="Normal"/>
    <w:autoRedefine/>
    <w:uiPriority w:val="39"/>
    <w:unhideWhenUsed/>
    <w:rsid w:val="00302727"/>
    <w:pPr>
      <w:spacing w:after="100"/>
      <w:ind w:left="240"/>
    </w:pPr>
  </w:style>
  <w:style w:type="character" w:styleId="Hyperlink">
    <w:name w:val="Hyperlink"/>
    <w:basedOn w:val="DefaultParagraphFont"/>
    <w:uiPriority w:val="99"/>
    <w:unhideWhenUsed/>
    <w:rsid w:val="00F2326E"/>
    <w:rPr>
      <w:color w:val="0000FF" w:themeColor="hyperlink"/>
      <w:u w:val="single"/>
    </w:rPr>
  </w:style>
  <w:style w:type="paragraph" w:styleId="Header">
    <w:name w:val="header"/>
    <w:basedOn w:val="Normal"/>
    <w:link w:val="HeaderChar"/>
    <w:uiPriority w:val="99"/>
    <w:unhideWhenUsed/>
    <w:rsid w:val="00CE57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57B9"/>
    <w:rPr>
      <w:rFonts w:ascii="Arial" w:hAnsi="Arial" w:cs="Arial"/>
      <w:sz w:val="24"/>
      <w:szCs w:val="24"/>
    </w:rPr>
  </w:style>
  <w:style w:type="paragraph" w:styleId="Footer">
    <w:name w:val="footer"/>
    <w:basedOn w:val="Normal"/>
    <w:link w:val="FooterChar"/>
    <w:uiPriority w:val="99"/>
    <w:unhideWhenUsed/>
    <w:rsid w:val="00CE57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57B9"/>
    <w:rPr>
      <w:rFonts w:ascii="Arial" w:hAnsi="Arial" w:cs="Arial"/>
      <w:sz w:val="24"/>
      <w:szCs w:val="24"/>
    </w:rPr>
  </w:style>
  <w:style w:type="paragraph" w:styleId="TOC3">
    <w:name w:val="toc 3"/>
    <w:basedOn w:val="Normal"/>
    <w:next w:val="Normal"/>
    <w:autoRedefine/>
    <w:uiPriority w:val="39"/>
    <w:unhideWhenUsed/>
    <w:rsid w:val="000C2CF6"/>
    <w:pPr>
      <w:tabs>
        <w:tab w:val="left" w:pos="1320"/>
        <w:tab w:val="right" w:leader="dot" w:pos="9016"/>
      </w:tabs>
      <w:spacing w:after="100"/>
      <w:ind w:left="440"/>
    </w:pPr>
    <w:rPr>
      <w:rFonts w:ascii="Verdana" w:hAnsi="Verdana" w:cstheme="minorBidi"/>
      <w:noProof/>
      <w:sz w:val="22"/>
      <w:szCs w:val="22"/>
      <w:lang w:val="en-US" w:eastAsia="ja-JP"/>
    </w:rPr>
  </w:style>
  <w:style w:type="character" w:customStyle="1" w:styleId="Heading3Char">
    <w:name w:val="Heading 3 Char"/>
    <w:basedOn w:val="DefaultParagraphFont"/>
    <w:link w:val="Heading3"/>
    <w:uiPriority w:val="9"/>
    <w:rsid w:val="003C347B"/>
    <w:rPr>
      <w:rFonts w:cs="Arial"/>
      <w:b/>
      <w:sz w:val="24"/>
      <w:szCs w:val="24"/>
    </w:rPr>
  </w:style>
  <w:style w:type="table" w:styleId="TableGrid">
    <w:name w:val="Table Grid"/>
    <w:basedOn w:val="TableNormal"/>
    <w:uiPriority w:val="59"/>
    <w:rsid w:val="008371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PHO2ndattempt">
    <w:name w:val="KPHO 2nd attempt"/>
    <w:basedOn w:val="TableNormal"/>
    <w:uiPriority w:val="99"/>
    <w:rsid w:val="00866539"/>
    <w:pPr>
      <w:spacing w:before="120" w:after="120" w:line="240" w:lineRule="auto"/>
    </w:pPr>
    <w:rPr>
      <w:rFonts w:ascii="Arial" w:hAnsi="Arial"/>
      <w:sz w:val="24"/>
    </w:rPr>
    <w:tblPr>
      <w:tblStyleRowBandSize w:val="1"/>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FFFFFF" w:themeColor="background1"/>
        <w:insideV w:val="single" w:sz="12" w:space="0" w:color="FFFFFF" w:themeColor="background1"/>
      </w:tblBorders>
    </w:tblPr>
    <w:tblStylePr w:type="firstRow">
      <w:rPr>
        <w:b/>
      </w:rPr>
      <w:tblPr/>
      <w:tcPr>
        <w:tcBorders>
          <w:top w:val="single" w:sz="8" w:space="0" w:color="D9D9D9" w:themeColor="background1" w:themeShade="D9"/>
          <w:left w:val="single" w:sz="8" w:space="0" w:color="D9D9D9" w:themeColor="background1" w:themeShade="D9"/>
          <w:bottom w:val="single" w:sz="12" w:space="0" w:color="FFFFFF" w:themeColor="background1"/>
          <w:right w:val="single" w:sz="8" w:space="0" w:color="D9D9D9" w:themeColor="background1" w:themeShade="D9"/>
          <w:insideH w:val="nil"/>
          <w:insideV w:val="single" w:sz="12" w:space="0" w:color="FFFFFF" w:themeColor="background1"/>
          <w:tl2br w:val="nil"/>
          <w:tr2bl w:val="nil"/>
        </w:tcBorders>
        <w:shd w:val="pct5" w:color="auto" w:fill="auto"/>
      </w:tcPr>
    </w:tblStylePr>
    <w:tblStylePr w:type="lastRow">
      <w:tblPr/>
      <w:tcPr>
        <w:tcBorders>
          <w:top w:val="nil"/>
          <w:left w:val="single" w:sz="12" w:space="0" w:color="D9D9D9" w:themeColor="background1" w:themeShade="D9"/>
          <w:bottom w:val="single" w:sz="12" w:space="0" w:color="D9D9D9" w:themeColor="background1" w:themeShade="D9"/>
          <w:right w:val="single" w:sz="12" w:space="0" w:color="D9D9D9" w:themeColor="background1" w:themeShade="D9"/>
          <w:insideH w:val="nil"/>
          <w:insideV w:val="single" w:sz="12" w:space="0" w:color="FFFFFF" w:themeColor="background1"/>
          <w:tl2br w:val="nil"/>
          <w:tr2bl w:val="nil"/>
        </w:tcBorders>
      </w:tcPr>
    </w:tblStylePr>
    <w:tblStylePr w:type="band1Horz">
      <w:tblPr/>
      <w:tcPr>
        <w:tcBorders>
          <w:top w:val="nil"/>
          <w:left w:val="single" w:sz="8" w:space="0" w:color="D9D9D9" w:themeColor="background1" w:themeShade="D9"/>
          <w:bottom w:val="single" w:sz="12" w:space="0" w:color="FFFFFF" w:themeColor="background1"/>
          <w:right w:val="single" w:sz="8" w:space="0" w:color="D9D9D9" w:themeColor="background1" w:themeShade="D9"/>
          <w:insideH w:val="nil"/>
          <w:insideV w:val="single" w:sz="12" w:space="0" w:color="FFFFFF" w:themeColor="background1"/>
          <w:tl2br w:val="nil"/>
          <w:tr2bl w:val="nil"/>
        </w:tcBorders>
      </w:tcPr>
    </w:tblStylePr>
    <w:tblStylePr w:type="band2Horz">
      <w:tblPr/>
      <w:tcPr>
        <w:tcBorders>
          <w:top w:val="nil"/>
          <w:left w:val="single" w:sz="8" w:space="0" w:color="D9D9D9" w:themeColor="background1" w:themeShade="D9"/>
          <w:bottom w:val="single" w:sz="12" w:space="0" w:color="FFFFFF" w:themeColor="background1"/>
          <w:right w:val="single" w:sz="8" w:space="0" w:color="D9D9D9" w:themeColor="background1" w:themeShade="D9"/>
          <w:insideH w:val="nil"/>
          <w:insideV w:val="single" w:sz="12" w:space="0" w:color="FFFFFF" w:themeColor="background1"/>
          <w:tl2br w:val="nil"/>
          <w:tr2bl w:val="nil"/>
        </w:tcBorders>
        <w:shd w:val="pct5" w:color="auto" w:fill="auto"/>
      </w:tcPr>
    </w:tblStylePr>
  </w:style>
  <w:style w:type="table" w:styleId="MediumShading1">
    <w:name w:val="Medium Shading 1"/>
    <w:basedOn w:val="TableNormal"/>
    <w:uiPriority w:val="63"/>
    <w:rsid w:val="007A6B9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semiHidden/>
    <w:unhideWhenUsed/>
    <w:rsid w:val="001F3FAA"/>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1F3FAA"/>
    <w:rPr>
      <w:rFonts w:ascii="Arial" w:hAnsi="Arial" w:cs="Arial"/>
      <w:sz w:val="20"/>
      <w:szCs w:val="20"/>
    </w:rPr>
  </w:style>
  <w:style w:type="character" w:styleId="FootnoteReference">
    <w:name w:val="footnote reference"/>
    <w:basedOn w:val="DefaultParagraphFont"/>
    <w:uiPriority w:val="99"/>
    <w:semiHidden/>
    <w:unhideWhenUsed/>
    <w:rsid w:val="001F3FAA"/>
    <w:rPr>
      <w:vertAlign w:val="superscript"/>
    </w:rPr>
  </w:style>
  <w:style w:type="character" w:customStyle="1" w:styleId="Heading4Char">
    <w:name w:val="Heading 4 Char"/>
    <w:basedOn w:val="DefaultParagraphFont"/>
    <w:link w:val="Heading4"/>
    <w:uiPriority w:val="9"/>
    <w:semiHidden/>
    <w:rsid w:val="00EF3DD0"/>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EF3DD0"/>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EF3DD0"/>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EF3DD0"/>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EF3DD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F3DD0"/>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2D3CC7"/>
    <w:pPr>
      <w:ind w:left="720"/>
      <w:contextualSpacing/>
    </w:pPr>
  </w:style>
  <w:style w:type="paragraph" w:customStyle="1" w:styleId="paragraph">
    <w:name w:val="paragraph"/>
    <w:basedOn w:val="Normal"/>
    <w:rsid w:val="001C6205"/>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1C6205"/>
  </w:style>
  <w:style w:type="character" w:customStyle="1" w:styleId="eop">
    <w:name w:val="eop"/>
    <w:basedOn w:val="DefaultParagraphFont"/>
    <w:rsid w:val="001C6205"/>
  </w:style>
  <w:style w:type="character" w:customStyle="1" w:styleId="superscript">
    <w:name w:val="superscript"/>
    <w:basedOn w:val="DefaultParagraphFont"/>
    <w:rsid w:val="001C6205"/>
  </w:style>
  <w:style w:type="character" w:styleId="CommentReference">
    <w:name w:val="annotation reference"/>
    <w:basedOn w:val="DefaultParagraphFont"/>
    <w:uiPriority w:val="99"/>
    <w:semiHidden/>
    <w:unhideWhenUsed/>
    <w:rsid w:val="00630AB0"/>
    <w:rPr>
      <w:sz w:val="16"/>
      <w:szCs w:val="16"/>
    </w:rPr>
  </w:style>
  <w:style w:type="character" w:customStyle="1" w:styleId="cf01">
    <w:name w:val="cf01"/>
    <w:basedOn w:val="DefaultParagraphFont"/>
    <w:rsid w:val="00630AB0"/>
    <w:rPr>
      <w:rFonts w:ascii="Segoe UI" w:hAnsi="Segoe UI" w:cs="Segoe UI" w:hint="default"/>
      <w:sz w:val="18"/>
      <w:szCs w:val="18"/>
    </w:rPr>
  </w:style>
  <w:style w:type="paragraph" w:customStyle="1" w:styleId="pf0">
    <w:name w:val="pf0"/>
    <w:basedOn w:val="Normal"/>
    <w:rsid w:val="00630AB0"/>
    <w:pPr>
      <w:spacing w:before="100" w:beforeAutospacing="1" w:after="100" w:afterAutospacing="1" w:line="240" w:lineRule="auto"/>
    </w:pPr>
    <w:rPr>
      <w:rFonts w:ascii="Times New Roman" w:eastAsia="Times New Roman" w:hAnsi="Times New Roman" w:cs="Times New Roman"/>
    </w:rPr>
  </w:style>
  <w:style w:type="paragraph" w:styleId="NormalWeb">
    <w:name w:val="Normal (Web)"/>
    <w:basedOn w:val="Normal"/>
    <w:uiPriority w:val="99"/>
    <w:unhideWhenUsed/>
    <w:rsid w:val="00630AB0"/>
    <w:pPr>
      <w:spacing w:before="100" w:beforeAutospacing="1" w:after="100" w:afterAutospacing="1" w:line="240" w:lineRule="auto"/>
    </w:pPr>
    <w:rPr>
      <w:rFonts w:ascii="Times New Roman" w:eastAsia="Times New Roman" w:hAnsi="Times New Roman" w:cs="Times New Roman"/>
    </w:rPr>
  </w:style>
  <w:style w:type="paragraph" w:styleId="CommentText">
    <w:name w:val="annotation text"/>
    <w:basedOn w:val="Normal"/>
    <w:link w:val="CommentTextChar"/>
    <w:uiPriority w:val="99"/>
    <w:unhideWhenUsed/>
    <w:rsid w:val="00D15EDD"/>
    <w:pPr>
      <w:spacing w:before="0" w:after="160" w:line="240" w:lineRule="auto"/>
    </w:pPr>
    <w:rPr>
      <w:rFonts w:eastAsiaTheme="minorHAnsi" w:cstheme="minorBidi"/>
      <w:kern w:val="2"/>
      <w:sz w:val="20"/>
      <w:szCs w:val="20"/>
      <w:lang w:eastAsia="en-US"/>
      <w14:ligatures w14:val="standardContextual"/>
    </w:rPr>
  </w:style>
  <w:style w:type="character" w:customStyle="1" w:styleId="CommentTextChar">
    <w:name w:val="Comment Text Char"/>
    <w:basedOn w:val="DefaultParagraphFont"/>
    <w:link w:val="CommentText"/>
    <w:uiPriority w:val="99"/>
    <w:rsid w:val="00D15EDD"/>
    <w:rPr>
      <w:rFonts w:eastAsiaTheme="minorHAnsi"/>
      <w:kern w:val="2"/>
      <w:sz w:val="20"/>
      <w:szCs w:val="20"/>
      <w:lang w:eastAsia="en-US"/>
      <w14:ligatures w14:val="standardContextual"/>
    </w:rPr>
  </w:style>
  <w:style w:type="character" w:styleId="UnresolvedMention">
    <w:name w:val="Unresolved Mention"/>
    <w:basedOn w:val="DefaultParagraphFont"/>
    <w:uiPriority w:val="99"/>
    <w:semiHidden/>
    <w:unhideWhenUsed/>
    <w:rsid w:val="00B138F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C85526"/>
    <w:pPr>
      <w:spacing w:before="120" w:after="120"/>
    </w:pPr>
    <w:rPr>
      <w:rFonts w:eastAsiaTheme="minorEastAsia" w:cs="Arial"/>
      <w:b/>
      <w:bCs/>
      <w:kern w:val="0"/>
      <w:lang w:eastAsia="en-GB"/>
      <w14:ligatures w14:val="none"/>
    </w:rPr>
  </w:style>
  <w:style w:type="character" w:customStyle="1" w:styleId="CommentSubjectChar">
    <w:name w:val="Comment Subject Char"/>
    <w:basedOn w:val="CommentTextChar"/>
    <w:link w:val="CommentSubject"/>
    <w:uiPriority w:val="99"/>
    <w:semiHidden/>
    <w:rsid w:val="00C85526"/>
    <w:rPr>
      <w:rFonts w:eastAsiaTheme="minorHAnsi" w:cs="Arial"/>
      <w:b/>
      <w:bCs/>
      <w:kern w:val="2"/>
      <w:sz w:val="20"/>
      <w:szCs w:val="20"/>
      <w:lang w:eastAsia="en-US"/>
      <w14:ligatures w14:val="standardContextual"/>
    </w:rPr>
  </w:style>
  <w:style w:type="character" w:styleId="Mention">
    <w:name w:val="Mention"/>
    <w:basedOn w:val="DefaultParagraphFont"/>
    <w:uiPriority w:val="99"/>
    <w:unhideWhenUsed/>
    <w:rsid w:val="009C43E6"/>
    <w:rPr>
      <w:color w:val="2B579A"/>
      <w:shd w:val="clear" w:color="auto" w:fill="E6E6E6"/>
    </w:rPr>
  </w:style>
  <w:style w:type="paragraph" w:styleId="Revision">
    <w:name w:val="Revision"/>
    <w:hidden/>
    <w:uiPriority w:val="99"/>
    <w:semiHidden/>
    <w:rsid w:val="00892097"/>
    <w:pPr>
      <w:spacing w:after="0" w:line="240" w:lineRule="auto"/>
    </w:pPr>
    <w:rPr>
      <w:rFonts w:cs="Arial"/>
      <w:sz w:val="24"/>
      <w:szCs w:val="24"/>
    </w:r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semiHidden/>
    <w:unhideWhenUsed/>
    <w:rsid w:val="002B1F87"/>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2B1F87"/>
    <w:rPr>
      <w:rFonts w:cs="Arial"/>
      <w:sz w:val="20"/>
      <w:szCs w:val="20"/>
    </w:rPr>
  </w:style>
  <w:style w:type="character" w:styleId="EndnoteReference">
    <w:name w:val="endnote reference"/>
    <w:basedOn w:val="DefaultParagraphFont"/>
    <w:uiPriority w:val="99"/>
    <w:semiHidden/>
    <w:unhideWhenUsed/>
    <w:rsid w:val="002B1F8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2817304">
      <w:bodyDiv w:val="1"/>
      <w:marLeft w:val="0"/>
      <w:marRight w:val="0"/>
      <w:marTop w:val="0"/>
      <w:marBottom w:val="0"/>
      <w:divBdr>
        <w:top w:val="none" w:sz="0" w:space="0" w:color="auto"/>
        <w:left w:val="none" w:sz="0" w:space="0" w:color="auto"/>
        <w:bottom w:val="none" w:sz="0" w:space="0" w:color="auto"/>
        <w:right w:val="none" w:sz="0" w:space="0" w:color="auto"/>
      </w:divBdr>
      <w:divsChild>
        <w:div w:id="36322998">
          <w:marLeft w:val="0"/>
          <w:marRight w:val="0"/>
          <w:marTop w:val="0"/>
          <w:marBottom w:val="0"/>
          <w:divBdr>
            <w:top w:val="none" w:sz="0" w:space="0" w:color="auto"/>
            <w:left w:val="none" w:sz="0" w:space="0" w:color="auto"/>
            <w:bottom w:val="none" w:sz="0" w:space="0" w:color="auto"/>
            <w:right w:val="none" w:sz="0" w:space="0" w:color="auto"/>
          </w:divBdr>
        </w:div>
        <w:div w:id="57631700">
          <w:marLeft w:val="0"/>
          <w:marRight w:val="0"/>
          <w:marTop w:val="0"/>
          <w:marBottom w:val="0"/>
          <w:divBdr>
            <w:top w:val="none" w:sz="0" w:space="0" w:color="auto"/>
            <w:left w:val="none" w:sz="0" w:space="0" w:color="auto"/>
            <w:bottom w:val="none" w:sz="0" w:space="0" w:color="auto"/>
            <w:right w:val="none" w:sz="0" w:space="0" w:color="auto"/>
          </w:divBdr>
        </w:div>
        <w:div w:id="102699961">
          <w:marLeft w:val="0"/>
          <w:marRight w:val="0"/>
          <w:marTop w:val="0"/>
          <w:marBottom w:val="0"/>
          <w:divBdr>
            <w:top w:val="none" w:sz="0" w:space="0" w:color="auto"/>
            <w:left w:val="none" w:sz="0" w:space="0" w:color="auto"/>
            <w:bottom w:val="none" w:sz="0" w:space="0" w:color="auto"/>
            <w:right w:val="none" w:sz="0" w:space="0" w:color="auto"/>
          </w:divBdr>
        </w:div>
        <w:div w:id="124197668">
          <w:marLeft w:val="0"/>
          <w:marRight w:val="0"/>
          <w:marTop w:val="0"/>
          <w:marBottom w:val="0"/>
          <w:divBdr>
            <w:top w:val="none" w:sz="0" w:space="0" w:color="auto"/>
            <w:left w:val="none" w:sz="0" w:space="0" w:color="auto"/>
            <w:bottom w:val="none" w:sz="0" w:space="0" w:color="auto"/>
            <w:right w:val="none" w:sz="0" w:space="0" w:color="auto"/>
          </w:divBdr>
        </w:div>
        <w:div w:id="336077551">
          <w:marLeft w:val="0"/>
          <w:marRight w:val="0"/>
          <w:marTop w:val="0"/>
          <w:marBottom w:val="0"/>
          <w:divBdr>
            <w:top w:val="none" w:sz="0" w:space="0" w:color="auto"/>
            <w:left w:val="none" w:sz="0" w:space="0" w:color="auto"/>
            <w:bottom w:val="none" w:sz="0" w:space="0" w:color="auto"/>
            <w:right w:val="none" w:sz="0" w:space="0" w:color="auto"/>
          </w:divBdr>
        </w:div>
        <w:div w:id="543981110">
          <w:marLeft w:val="0"/>
          <w:marRight w:val="0"/>
          <w:marTop w:val="0"/>
          <w:marBottom w:val="0"/>
          <w:divBdr>
            <w:top w:val="none" w:sz="0" w:space="0" w:color="auto"/>
            <w:left w:val="none" w:sz="0" w:space="0" w:color="auto"/>
            <w:bottom w:val="none" w:sz="0" w:space="0" w:color="auto"/>
            <w:right w:val="none" w:sz="0" w:space="0" w:color="auto"/>
          </w:divBdr>
        </w:div>
        <w:div w:id="604267820">
          <w:marLeft w:val="0"/>
          <w:marRight w:val="0"/>
          <w:marTop w:val="0"/>
          <w:marBottom w:val="0"/>
          <w:divBdr>
            <w:top w:val="none" w:sz="0" w:space="0" w:color="auto"/>
            <w:left w:val="none" w:sz="0" w:space="0" w:color="auto"/>
            <w:bottom w:val="none" w:sz="0" w:space="0" w:color="auto"/>
            <w:right w:val="none" w:sz="0" w:space="0" w:color="auto"/>
          </w:divBdr>
        </w:div>
        <w:div w:id="679742354">
          <w:marLeft w:val="0"/>
          <w:marRight w:val="0"/>
          <w:marTop w:val="0"/>
          <w:marBottom w:val="0"/>
          <w:divBdr>
            <w:top w:val="none" w:sz="0" w:space="0" w:color="auto"/>
            <w:left w:val="none" w:sz="0" w:space="0" w:color="auto"/>
            <w:bottom w:val="none" w:sz="0" w:space="0" w:color="auto"/>
            <w:right w:val="none" w:sz="0" w:space="0" w:color="auto"/>
          </w:divBdr>
        </w:div>
        <w:div w:id="681324843">
          <w:marLeft w:val="0"/>
          <w:marRight w:val="0"/>
          <w:marTop w:val="0"/>
          <w:marBottom w:val="0"/>
          <w:divBdr>
            <w:top w:val="none" w:sz="0" w:space="0" w:color="auto"/>
            <w:left w:val="none" w:sz="0" w:space="0" w:color="auto"/>
            <w:bottom w:val="none" w:sz="0" w:space="0" w:color="auto"/>
            <w:right w:val="none" w:sz="0" w:space="0" w:color="auto"/>
          </w:divBdr>
        </w:div>
        <w:div w:id="682319889">
          <w:marLeft w:val="0"/>
          <w:marRight w:val="0"/>
          <w:marTop w:val="0"/>
          <w:marBottom w:val="0"/>
          <w:divBdr>
            <w:top w:val="none" w:sz="0" w:space="0" w:color="auto"/>
            <w:left w:val="none" w:sz="0" w:space="0" w:color="auto"/>
            <w:bottom w:val="none" w:sz="0" w:space="0" w:color="auto"/>
            <w:right w:val="none" w:sz="0" w:space="0" w:color="auto"/>
          </w:divBdr>
        </w:div>
        <w:div w:id="1080177654">
          <w:marLeft w:val="0"/>
          <w:marRight w:val="0"/>
          <w:marTop w:val="0"/>
          <w:marBottom w:val="0"/>
          <w:divBdr>
            <w:top w:val="none" w:sz="0" w:space="0" w:color="auto"/>
            <w:left w:val="none" w:sz="0" w:space="0" w:color="auto"/>
            <w:bottom w:val="none" w:sz="0" w:space="0" w:color="auto"/>
            <w:right w:val="none" w:sz="0" w:space="0" w:color="auto"/>
          </w:divBdr>
        </w:div>
        <w:div w:id="1098210251">
          <w:marLeft w:val="0"/>
          <w:marRight w:val="0"/>
          <w:marTop w:val="0"/>
          <w:marBottom w:val="0"/>
          <w:divBdr>
            <w:top w:val="none" w:sz="0" w:space="0" w:color="auto"/>
            <w:left w:val="none" w:sz="0" w:space="0" w:color="auto"/>
            <w:bottom w:val="none" w:sz="0" w:space="0" w:color="auto"/>
            <w:right w:val="none" w:sz="0" w:space="0" w:color="auto"/>
          </w:divBdr>
        </w:div>
        <w:div w:id="1112632360">
          <w:marLeft w:val="0"/>
          <w:marRight w:val="0"/>
          <w:marTop w:val="0"/>
          <w:marBottom w:val="0"/>
          <w:divBdr>
            <w:top w:val="none" w:sz="0" w:space="0" w:color="auto"/>
            <w:left w:val="none" w:sz="0" w:space="0" w:color="auto"/>
            <w:bottom w:val="none" w:sz="0" w:space="0" w:color="auto"/>
            <w:right w:val="none" w:sz="0" w:space="0" w:color="auto"/>
          </w:divBdr>
        </w:div>
        <w:div w:id="1116171375">
          <w:marLeft w:val="0"/>
          <w:marRight w:val="0"/>
          <w:marTop w:val="0"/>
          <w:marBottom w:val="0"/>
          <w:divBdr>
            <w:top w:val="none" w:sz="0" w:space="0" w:color="auto"/>
            <w:left w:val="none" w:sz="0" w:space="0" w:color="auto"/>
            <w:bottom w:val="none" w:sz="0" w:space="0" w:color="auto"/>
            <w:right w:val="none" w:sz="0" w:space="0" w:color="auto"/>
          </w:divBdr>
        </w:div>
        <w:div w:id="1346133820">
          <w:marLeft w:val="0"/>
          <w:marRight w:val="0"/>
          <w:marTop w:val="0"/>
          <w:marBottom w:val="0"/>
          <w:divBdr>
            <w:top w:val="none" w:sz="0" w:space="0" w:color="auto"/>
            <w:left w:val="none" w:sz="0" w:space="0" w:color="auto"/>
            <w:bottom w:val="none" w:sz="0" w:space="0" w:color="auto"/>
            <w:right w:val="none" w:sz="0" w:space="0" w:color="auto"/>
          </w:divBdr>
        </w:div>
        <w:div w:id="1383481919">
          <w:marLeft w:val="0"/>
          <w:marRight w:val="0"/>
          <w:marTop w:val="0"/>
          <w:marBottom w:val="0"/>
          <w:divBdr>
            <w:top w:val="none" w:sz="0" w:space="0" w:color="auto"/>
            <w:left w:val="none" w:sz="0" w:space="0" w:color="auto"/>
            <w:bottom w:val="none" w:sz="0" w:space="0" w:color="auto"/>
            <w:right w:val="none" w:sz="0" w:space="0" w:color="auto"/>
          </w:divBdr>
        </w:div>
        <w:div w:id="1464422774">
          <w:marLeft w:val="0"/>
          <w:marRight w:val="0"/>
          <w:marTop w:val="0"/>
          <w:marBottom w:val="0"/>
          <w:divBdr>
            <w:top w:val="none" w:sz="0" w:space="0" w:color="auto"/>
            <w:left w:val="none" w:sz="0" w:space="0" w:color="auto"/>
            <w:bottom w:val="none" w:sz="0" w:space="0" w:color="auto"/>
            <w:right w:val="none" w:sz="0" w:space="0" w:color="auto"/>
          </w:divBdr>
        </w:div>
        <w:div w:id="1581015173">
          <w:marLeft w:val="0"/>
          <w:marRight w:val="0"/>
          <w:marTop w:val="0"/>
          <w:marBottom w:val="0"/>
          <w:divBdr>
            <w:top w:val="none" w:sz="0" w:space="0" w:color="auto"/>
            <w:left w:val="none" w:sz="0" w:space="0" w:color="auto"/>
            <w:bottom w:val="none" w:sz="0" w:space="0" w:color="auto"/>
            <w:right w:val="none" w:sz="0" w:space="0" w:color="auto"/>
          </w:divBdr>
        </w:div>
        <w:div w:id="1645620175">
          <w:marLeft w:val="0"/>
          <w:marRight w:val="0"/>
          <w:marTop w:val="0"/>
          <w:marBottom w:val="0"/>
          <w:divBdr>
            <w:top w:val="none" w:sz="0" w:space="0" w:color="auto"/>
            <w:left w:val="none" w:sz="0" w:space="0" w:color="auto"/>
            <w:bottom w:val="none" w:sz="0" w:space="0" w:color="auto"/>
            <w:right w:val="none" w:sz="0" w:space="0" w:color="auto"/>
          </w:divBdr>
        </w:div>
        <w:div w:id="1676493001">
          <w:marLeft w:val="0"/>
          <w:marRight w:val="0"/>
          <w:marTop w:val="0"/>
          <w:marBottom w:val="0"/>
          <w:divBdr>
            <w:top w:val="none" w:sz="0" w:space="0" w:color="auto"/>
            <w:left w:val="none" w:sz="0" w:space="0" w:color="auto"/>
            <w:bottom w:val="none" w:sz="0" w:space="0" w:color="auto"/>
            <w:right w:val="none" w:sz="0" w:space="0" w:color="auto"/>
          </w:divBdr>
        </w:div>
        <w:div w:id="1744571454">
          <w:marLeft w:val="0"/>
          <w:marRight w:val="0"/>
          <w:marTop w:val="0"/>
          <w:marBottom w:val="0"/>
          <w:divBdr>
            <w:top w:val="none" w:sz="0" w:space="0" w:color="auto"/>
            <w:left w:val="none" w:sz="0" w:space="0" w:color="auto"/>
            <w:bottom w:val="none" w:sz="0" w:space="0" w:color="auto"/>
            <w:right w:val="none" w:sz="0" w:space="0" w:color="auto"/>
          </w:divBdr>
        </w:div>
        <w:div w:id="1763334387">
          <w:marLeft w:val="0"/>
          <w:marRight w:val="0"/>
          <w:marTop w:val="0"/>
          <w:marBottom w:val="0"/>
          <w:divBdr>
            <w:top w:val="none" w:sz="0" w:space="0" w:color="auto"/>
            <w:left w:val="none" w:sz="0" w:space="0" w:color="auto"/>
            <w:bottom w:val="none" w:sz="0" w:space="0" w:color="auto"/>
            <w:right w:val="none" w:sz="0" w:space="0" w:color="auto"/>
          </w:divBdr>
        </w:div>
        <w:div w:id="1812401587">
          <w:marLeft w:val="0"/>
          <w:marRight w:val="0"/>
          <w:marTop w:val="0"/>
          <w:marBottom w:val="0"/>
          <w:divBdr>
            <w:top w:val="none" w:sz="0" w:space="0" w:color="auto"/>
            <w:left w:val="none" w:sz="0" w:space="0" w:color="auto"/>
            <w:bottom w:val="none" w:sz="0" w:space="0" w:color="auto"/>
            <w:right w:val="none" w:sz="0" w:space="0" w:color="auto"/>
          </w:divBdr>
        </w:div>
        <w:div w:id="1838810699">
          <w:marLeft w:val="0"/>
          <w:marRight w:val="0"/>
          <w:marTop w:val="0"/>
          <w:marBottom w:val="0"/>
          <w:divBdr>
            <w:top w:val="none" w:sz="0" w:space="0" w:color="auto"/>
            <w:left w:val="none" w:sz="0" w:space="0" w:color="auto"/>
            <w:bottom w:val="none" w:sz="0" w:space="0" w:color="auto"/>
            <w:right w:val="none" w:sz="0" w:space="0" w:color="auto"/>
          </w:divBdr>
        </w:div>
        <w:div w:id="1872496408">
          <w:marLeft w:val="0"/>
          <w:marRight w:val="0"/>
          <w:marTop w:val="0"/>
          <w:marBottom w:val="0"/>
          <w:divBdr>
            <w:top w:val="none" w:sz="0" w:space="0" w:color="auto"/>
            <w:left w:val="none" w:sz="0" w:space="0" w:color="auto"/>
            <w:bottom w:val="none" w:sz="0" w:space="0" w:color="auto"/>
            <w:right w:val="none" w:sz="0" w:space="0" w:color="auto"/>
          </w:divBdr>
        </w:div>
        <w:div w:id="2002194721">
          <w:marLeft w:val="0"/>
          <w:marRight w:val="0"/>
          <w:marTop w:val="0"/>
          <w:marBottom w:val="0"/>
          <w:divBdr>
            <w:top w:val="none" w:sz="0" w:space="0" w:color="auto"/>
            <w:left w:val="none" w:sz="0" w:space="0" w:color="auto"/>
            <w:bottom w:val="none" w:sz="0" w:space="0" w:color="auto"/>
            <w:right w:val="none" w:sz="0" w:space="0" w:color="auto"/>
          </w:divBdr>
        </w:div>
        <w:div w:id="2144618851">
          <w:marLeft w:val="0"/>
          <w:marRight w:val="0"/>
          <w:marTop w:val="0"/>
          <w:marBottom w:val="0"/>
          <w:divBdr>
            <w:top w:val="none" w:sz="0" w:space="0" w:color="auto"/>
            <w:left w:val="none" w:sz="0" w:space="0" w:color="auto"/>
            <w:bottom w:val="none" w:sz="0" w:space="0" w:color="auto"/>
            <w:right w:val="none" w:sz="0" w:space="0" w:color="auto"/>
          </w:divBdr>
        </w:div>
      </w:divsChild>
    </w:div>
    <w:div w:id="531922786">
      <w:bodyDiv w:val="1"/>
      <w:marLeft w:val="0"/>
      <w:marRight w:val="0"/>
      <w:marTop w:val="0"/>
      <w:marBottom w:val="0"/>
      <w:divBdr>
        <w:top w:val="none" w:sz="0" w:space="0" w:color="auto"/>
        <w:left w:val="none" w:sz="0" w:space="0" w:color="auto"/>
        <w:bottom w:val="none" w:sz="0" w:space="0" w:color="auto"/>
        <w:right w:val="none" w:sz="0" w:space="0" w:color="auto"/>
      </w:divBdr>
    </w:div>
    <w:div w:id="556285656">
      <w:bodyDiv w:val="1"/>
      <w:marLeft w:val="0"/>
      <w:marRight w:val="0"/>
      <w:marTop w:val="0"/>
      <w:marBottom w:val="0"/>
      <w:divBdr>
        <w:top w:val="none" w:sz="0" w:space="0" w:color="auto"/>
        <w:left w:val="none" w:sz="0" w:space="0" w:color="auto"/>
        <w:bottom w:val="none" w:sz="0" w:space="0" w:color="auto"/>
        <w:right w:val="none" w:sz="0" w:space="0" w:color="auto"/>
      </w:divBdr>
      <w:divsChild>
        <w:div w:id="247619272">
          <w:marLeft w:val="0"/>
          <w:marRight w:val="0"/>
          <w:marTop w:val="0"/>
          <w:marBottom w:val="0"/>
          <w:divBdr>
            <w:top w:val="none" w:sz="0" w:space="0" w:color="auto"/>
            <w:left w:val="none" w:sz="0" w:space="0" w:color="auto"/>
            <w:bottom w:val="none" w:sz="0" w:space="0" w:color="auto"/>
            <w:right w:val="none" w:sz="0" w:space="0" w:color="auto"/>
          </w:divBdr>
        </w:div>
        <w:div w:id="282074428">
          <w:marLeft w:val="0"/>
          <w:marRight w:val="0"/>
          <w:marTop w:val="0"/>
          <w:marBottom w:val="0"/>
          <w:divBdr>
            <w:top w:val="none" w:sz="0" w:space="0" w:color="auto"/>
            <w:left w:val="none" w:sz="0" w:space="0" w:color="auto"/>
            <w:bottom w:val="none" w:sz="0" w:space="0" w:color="auto"/>
            <w:right w:val="none" w:sz="0" w:space="0" w:color="auto"/>
          </w:divBdr>
        </w:div>
        <w:div w:id="368342616">
          <w:marLeft w:val="0"/>
          <w:marRight w:val="0"/>
          <w:marTop w:val="0"/>
          <w:marBottom w:val="0"/>
          <w:divBdr>
            <w:top w:val="none" w:sz="0" w:space="0" w:color="auto"/>
            <w:left w:val="none" w:sz="0" w:space="0" w:color="auto"/>
            <w:bottom w:val="none" w:sz="0" w:space="0" w:color="auto"/>
            <w:right w:val="none" w:sz="0" w:space="0" w:color="auto"/>
          </w:divBdr>
        </w:div>
        <w:div w:id="433597236">
          <w:marLeft w:val="0"/>
          <w:marRight w:val="0"/>
          <w:marTop w:val="0"/>
          <w:marBottom w:val="0"/>
          <w:divBdr>
            <w:top w:val="none" w:sz="0" w:space="0" w:color="auto"/>
            <w:left w:val="none" w:sz="0" w:space="0" w:color="auto"/>
            <w:bottom w:val="none" w:sz="0" w:space="0" w:color="auto"/>
            <w:right w:val="none" w:sz="0" w:space="0" w:color="auto"/>
          </w:divBdr>
        </w:div>
        <w:div w:id="437065917">
          <w:marLeft w:val="0"/>
          <w:marRight w:val="0"/>
          <w:marTop w:val="0"/>
          <w:marBottom w:val="0"/>
          <w:divBdr>
            <w:top w:val="none" w:sz="0" w:space="0" w:color="auto"/>
            <w:left w:val="none" w:sz="0" w:space="0" w:color="auto"/>
            <w:bottom w:val="none" w:sz="0" w:space="0" w:color="auto"/>
            <w:right w:val="none" w:sz="0" w:space="0" w:color="auto"/>
          </w:divBdr>
        </w:div>
        <w:div w:id="514149635">
          <w:marLeft w:val="0"/>
          <w:marRight w:val="0"/>
          <w:marTop w:val="0"/>
          <w:marBottom w:val="0"/>
          <w:divBdr>
            <w:top w:val="none" w:sz="0" w:space="0" w:color="auto"/>
            <w:left w:val="none" w:sz="0" w:space="0" w:color="auto"/>
            <w:bottom w:val="none" w:sz="0" w:space="0" w:color="auto"/>
            <w:right w:val="none" w:sz="0" w:space="0" w:color="auto"/>
          </w:divBdr>
        </w:div>
        <w:div w:id="649291281">
          <w:marLeft w:val="0"/>
          <w:marRight w:val="0"/>
          <w:marTop w:val="0"/>
          <w:marBottom w:val="0"/>
          <w:divBdr>
            <w:top w:val="none" w:sz="0" w:space="0" w:color="auto"/>
            <w:left w:val="none" w:sz="0" w:space="0" w:color="auto"/>
            <w:bottom w:val="none" w:sz="0" w:space="0" w:color="auto"/>
            <w:right w:val="none" w:sz="0" w:space="0" w:color="auto"/>
          </w:divBdr>
        </w:div>
        <w:div w:id="784806477">
          <w:marLeft w:val="0"/>
          <w:marRight w:val="0"/>
          <w:marTop w:val="0"/>
          <w:marBottom w:val="0"/>
          <w:divBdr>
            <w:top w:val="none" w:sz="0" w:space="0" w:color="auto"/>
            <w:left w:val="none" w:sz="0" w:space="0" w:color="auto"/>
            <w:bottom w:val="none" w:sz="0" w:space="0" w:color="auto"/>
            <w:right w:val="none" w:sz="0" w:space="0" w:color="auto"/>
          </w:divBdr>
        </w:div>
        <w:div w:id="792021102">
          <w:marLeft w:val="0"/>
          <w:marRight w:val="0"/>
          <w:marTop w:val="0"/>
          <w:marBottom w:val="0"/>
          <w:divBdr>
            <w:top w:val="none" w:sz="0" w:space="0" w:color="auto"/>
            <w:left w:val="none" w:sz="0" w:space="0" w:color="auto"/>
            <w:bottom w:val="none" w:sz="0" w:space="0" w:color="auto"/>
            <w:right w:val="none" w:sz="0" w:space="0" w:color="auto"/>
          </w:divBdr>
        </w:div>
        <w:div w:id="884217613">
          <w:marLeft w:val="0"/>
          <w:marRight w:val="0"/>
          <w:marTop w:val="0"/>
          <w:marBottom w:val="0"/>
          <w:divBdr>
            <w:top w:val="none" w:sz="0" w:space="0" w:color="auto"/>
            <w:left w:val="none" w:sz="0" w:space="0" w:color="auto"/>
            <w:bottom w:val="none" w:sz="0" w:space="0" w:color="auto"/>
            <w:right w:val="none" w:sz="0" w:space="0" w:color="auto"/>
          </w:divBdr>
        </w:div>
        <w:div w:id="1005866485">
          <w:marLeft w:val="0"/>
          <w:marRight w:val="0"/>
          <w:marTop w:val="0"/>
          <w:marBottom w:val="0"/>
          <w:divBdr>
            <w:top w:val="none" w:sz="0" w:space="0" w:color="auto"/>
            <w:left w:val="none" w:sz="0" w:space="0" w:color="auto"/>
            <w:bottom w:val="none" w:sz="0" w:space="0" w:color="auto"/>
            <w:right w:val="none" w:sz="0" w:space="0" w:color="auto"/>
          </w:divBdr>
        </w:div>
        <w:div w:id="1020089591">
          <w:marLeft w:val="0"/>
          <w:marRight w:val="0"/>
          <w:marTop w:val="0"/>
          <w:marBottom w:val="0"/>
          <w:divBdr>
            <w:top w:val="none" w:sz="0" w:space="0" w:color="auto"/>
            <w:left w:val="none" w:sz="0" w:space="0" w:color="auto"/>
            <w:bottom w:val="none" w:sz="0" w:space="0" w:color="auto"/>
            <w:right w:val="none" w:sz="0" w:space="0" w:color="auto"/>
          </w:divBdr>
        </w:div>
        <w:div w:id="1022585687">
          <w:marLeft w:val="0"/>
          <w:marRight w:val="0"/>
          <w:marTop w:val="0"/>
          <w:marBottom w:val="0"/>
          <w:divBdr>
            <w:top w:val="none" w:sz="0" w:space="0" w:color="auto"/>
            <w:left w:val="none" w:sz="0" w:space="0" w:color="auto"/>
            <w:bottom w:val="none" w:sz="0" w:space="0" w:color="auto"/>
            <w:right w:val="none" w:sz="0" w:space="0" w:color="auto"/>
          </w:divBdr>
        </w:div>
        <w:div w:id="1121191512">
          <w:marLeft w:val="0"/>
          <w:marRight w:val="0"/>
          <w:marTop w:val="0"/>
          <w:marBottom w:val="0"/>
          <w:divBdr>
            <w:top w:val="none" w:sz="0" w:space="0" w:color="auto"/>
            <w:left w:val="none" w:sz="0" w:space="0" w:color="auto"/>
            <w:bottom w:val="none" w:sz="0" w:space="0" w:color="auto"/>
            <w:right w:val="none" w:sz="0" w:space="0" w:color="auto"/>
          </w:divBdr>
        </w:div>
        <w:div w:id="1193111990">
          <w:marLeft w:val="0"/>
          <w:marRight w:val="0"/>
          <w:marTop w:val="0"/>
          <w:marBottom w:val="0"/>
          <w:divBdr>
            <w:top w:val="none" w:sz="0" w:space="0" w:color="auto"/>
            <w:left w:val="none" w:sz="0" w:space="0" w:color="auto"/>
            <w:bottom w:val="none" w:sz="0" w:space="0" w:color="auto"/>
            <w:right w:val="none" w:sz="0" w:space="0" w:color="auto"/>
          </w:divBdr>
        </w:div>
        <w:div w:id="1416130482">
          <w:marLeft w:val="0"/>
          <w:marRight w:val="0"/>
          <w:marTop w:val="0"/>
          <w:marBottom w:val="0"/>
          <w:divBdr>
            <w:top w:val="none" w:sz="0" w:space="0" w:color="auto"/>
            <w:left w:val="none" w:sz="0" w:space="0" w:color="auto"/>
            <w:bottom w:val="none" w:sz="0" w:space="0" w:color="auto"/>
            <w:right w:val="none" w:sz="0" w:space="0" w:color="auto"/>
          </w:divBdr>
        </w:div>
        <w:div w:id="1424255450">
          <w:marLeft w:val="0"/>
          <w:marRight w:val="0"/>
          <w:marTop w:val="0"/>
          <w:marBottom w:val="0"/>
          <w:divBdr>
            <w:top w:val="none" w:sz="0" w:space="0" w:color="auto"/>
            <w:left w:val="none" w:sz="0" w:space="0" w:color="auto"/>
            <w:bottom w:val="none" w:sz="0" w:space="0" w:color="auto"/>
            <w:right w:val="none" w:sz="0" w:space="0" w:color="auto"/>
          </w:divBdr>
        </w:div>
        <w:div w:id="1440182445">
          <w:marLeft w:val="0"/>
          <w:marRight w:val="0"/>
          <w:marTop w:val="0"/>
          <w:marBottom w:val="0"/>
          <w:divBdr>
            <w:top w:val="none" w:sz="0" w:space="0" w:color="auto"/>
            <w:left w:val="none" w:sz="0" w:space="0" w:color="auto"/>
            <w:bottom w:val="none" w:sz="0" w:space="0" w:color="auto"/>
            <w:right w:val="none" w:sz="0" w:space="0" w:color="auto"/>
          </w:divBdr>
        </w:div>
        <w:div w:id="1443528099">
          <w:marLeft w:val="0"/>
          <w:marRight w:val="0"/>
          <w:marTop w:val="0"/>
          <w:marBottom w:val="0"/>
          <w:divBdr>
            <w:top w:val="none" w:sz="0" w:space="0" w:color="auto"/>
            <w:left w:val="none" w:sz="0" w:space="0" w:color="auto"/>
            <w:bottom w:val="none" w:sz="0" w:space="0" w:color="auto"/>
            <w:right w:val="none" w:sz="0" w:space="0" w:color="auto"/>
          </w:divBdr>
        </w:div>
        <w:div w:id="1487355061">
          <w:marLeft w:val="0"/>
          <w:marRight w:val="0"/>
          <w:marTop w:val="0"/>
          <w:marBottom w:val="0"/>
          <w:divBdr>
            <w:top w:val="none" w:sz="0" w:space="0" w:color="auto"/>
            <w:left w:val="none" w:sz="0" w:space="0" w:color="auto"/>
            <w:bottom w:val="none" w:sz="0" w:space="0" w:color="auto"/>
            <w:right w:val="none" w:sz="0" w:space="0" w:color="auto"/>
          </w:divBdr>
        </w:div>
        <w:div w:id="1592158423">
          <w:marLeft w:val="0"/>
          <w:marRight w:val="0"/>
          <w:marTop w:val="0"/>
          <w:marBottom w:val="0"/>
          <w:divBdr>
            <w:top w:val="none" w:sz="0" w:space="0" w:color="auto"/>
            <w:left w:val="none" w:sz="0" w:space="0" w:color="auto"/>
            <w:bottom w:val="none" w:sz="0" w:space="0" w:color="auto"/>
            <w:right w:val="none" w:sz="0" w:space="0" w:color="auto"/>
          </w:divBdr>
        </w:div>
        <w:div w:id="1596130285">
          <w:marLeft w:val="0"/>
          <w:marRight w:val="0"/>
          <w:marTop w:val="0"/>
          <w:marBottom w:val="0"/>
          <w:divBdr>
            <w:top w:val="none" w:sz="0" w:space="0" w:color="auto"/>
            <w:left w:val="none" w:sz="0" w:space="0" w:color="auto"/>
            <w:bottom w:val="none" w:sz="0" w:space="0" w:color="auto"/>
            <w:right w:val="none" w:sz="0" w:space="0" w:color="auto"/>
          </w:divBdr>
        </w:div>
        <w:div w:id="1604873369">
          <w:marLeft w:val="0"/>
          <w:marRight w:val="0"/>
          <w:marTop w:val="0"/>
          <w:marBottom w:val="0"/>
          <w:divBdr>
            <w:top w:val="none" w:sz="0" w:space="0" w:color="auto"/>
            <w:left w:val="none" w:sz="0" w:space="0" w:color="auto"/>
            <w:bottom w:val="none" w:sz="0" w:space="0" w:color="auto"/>
            <w:right w:val="none" w:sz="0" w:space="0" w:color="auto"/>
          </w:divBdr>
        </w:div>
        <w:div w:id="1648048468">
          <w:marLeft w:val="0"/>
          <w:marRight w:val="0"/>
          <w:marTop w:val="0"/>
          <w:marBottom w:val="0"/>
          <w:divBdr>
            <w:top w:val="none" w:sz="0" w:space="0" w:color="auto"/>
            <w:left w:val="none" w:sz="0" w:space="0" w:color="auto"/>
            <w:bottom w:val="none" w:sz="0" w:space="0" w:color="auto"/>
            <w:right w:val="none" w:sz="0" w:space="0" w:color="auto"/>
          </w:divBdr>
          <w:divsChild>
            <w:div w:id="10693702">
              <w:marLeft w:val="0"/>
              <w:marRight w:val="0"/>
              <w:marTop w:val="0"/>
              <w:marBottom w:val="0"/>
              <w:divBdr>
                <w:top w:val="none" w:sz="0" w:space="0" w:color="auto"/>
                <w:left w:val="none" w:sz="0" w:space="0" w:color="auto"/>
                <w:bottom w:val="none" w:sz="0" w:space="0" w:color="auto"/>
                <w:right w:val="none" w:sz="0" w:space="0" w:color="auto"/>
              </w:divBdr>
            </w:div>
            <w:div w:id="78796497">
              <w:marLeft w:val="0"/>
              <w:marRight w:val="0"/>
              <w:marTop w:val="0"/>
              <w:marBottom w:val="0"/>
              <w:divBdr>
                <w:top w:val="none" w:sz="0" w:space="0" w:color="auto"/>
                <w:left w:val="none" w:sz="0" w:space="0" w:color="auto"/>
                <w:bottom w:val="none" w:sz="0" w:space="0" w:color="auto"/>
                <w:right w:val="none" w:sz="0" w:space="0" w:color="auto"/>
              </w:divBdr>
            </w:div>
            <w:div w:id="84154369">
              <w:marLeft w:val="0"/>
              <w:marRight w:val="0"/>
              <w:marTop w:val="0"/>
              <w:marBottom w:val="0"/>
              <w:divBdr>
                <w:top w:val="none" w:sz="0" w:space="0" w:color="auto"/>
                <w:left w:val="none" w:sz="0" w:space="0" w:color="auto"/>
                <w:bottom w:val="none" w:sz="0" w:space="0" w:color="auto"/>
                <w:right w:val="none" w:sz="0" w:space="0" w:color="auto"/>
              </w:divBdr>
            </w:div>
            <w:div w:id="87698169">
              <w:marLeft w:val="0"/>
              <w:marRight w:val="0"/>
              <w:marTop w:val="0"/>
              <w:marBottom w:val="0"/>
              <w:divBdr>
                <w:top w:val="none" w:sz="0" w:space="0" w:color="auto"/>
                <w:left w:val="none" w:sz="0" w:space="0" w:color="auto"/>
                <w:bottom w:val="none" w:sz="0" w:space="0" w:color="auto"/>
                <w:right w:val="none" w:sz="0" w:space="0" w:color="auto"/>
              </w:divBdr>
            </w:div>
            <w:div w:id="366301881">
              <w:marLeft w:val="0"/>
              <w:marRight w:val="0"/>
              <w:marTop w:val="0"/>
              <w:marBottom w:val="0"/>
              <w:divBdr>
                <w:top w:val="none" w:sz="0" w:space="0" w:color="auto"/>
                <w:left w:val="none" w:sz="0" w:space="0" w:color="auto"/>
                <w:bottom w:val="none" w:sz="0" w:space="0" w:color="auto"/>
                <w:right w:val="none" w:sz="0" w:space="0" w:color="auto"/>
              </w:divBdr>
            </w:div>
            <w:div w:id="468787733">
              <w:marLeft w:val="0"/>
              <w:marRight w:val="0"/>
              <w:marTop w:val="0"/>
              <w:marBottom w:val="0"/>
              <w:divBdr>
                <w:top w:val="none" w:sz="0" w:space="0" w:color="auto"/>
                <w:left w:val="none" w:sz="0" w:space="0" w:color="auto"/>
                <w:bottom w:val="none" w:sz="0" w:space="0" w:color="auto"/>
                <w:right w:val="none" w:sz="0" w:space="0" w:color="auto"/>
              </w:divBdr>
            </w:div>
            <w:div w:id="533463752">
              <w:marLeft w:val="0"/>
              <w:marRight w:val="0"/>
              <w:marTop w:val="0"/>
              <w:marBottom w:val="0"/>
              <w:divBdr>
                <w:top w:val="none" w:sz="0" w:space="0" w:color="auto"/>
                <w:left w:val="none" w:sz="0" w:space="0" w:color="auto"/>
                <w:bottom w:val="none" w:sz="0" w:space="0" w:color="auto"/>
                <w:right w:val="none" w:sz="0" w:space="0" w:color="auto"/>
              </w:divBdr>
            </w:div>
            <w:div w:id="612710745">
              <w:marLeft w:val="0"/>
              <w:marRight w:val="0"/>
              <w:marTop w:val="0"/>
              <w:marBottom w:val="0"/>
              <w:divBdr>
                <w:top w:val="none" w:sz="0" w:space="0" w:color="auto"/>
                <w:left w:val="none" w:sz="0" w:space="0" w:color="auto"/>
                <w:bottom w:val="none" w:sz="0" w:space="0" w:color="auto"/>
                <w:right w:val="none" w:sz="0" w:space="0" w:color="auto"/>
              </w:divBdr>
            </w:div>
            <w:div w:id="685864863">
              <w:marLeft w:val="0"/>
              <w:marRight w:val="0"/>
              <w:marTop w:val="0"/>
              <w:marBottom w:val="0"/>
              <w:divBdr>
                <w:top w:val="none" w:sz="0" w:space="0" w:color="auto"/>
                <w:left w:val="none" w:sz="0" w:space="0" w:color="auto"/>
                <w:bottom w:val="none" w:sz="0" w:space="0" w:color="auto"/>
                <w:right w:val="none" w:sz="0" w:space="0" w:color="auto"/>
              </w:divBdr>
            </w:div>
            <w:div w:id="690649926">
              <w:marLeft w:val="0"/>
              <w:marRight w:val="0"/>
              <w:marTop w:val="0"/>
              <w:marBottom w:val="0"/>
              <w:divBdr>
                <w:top w:val="none" w:sz="0" w:space="0" w:color="auto"/>
                <w:left w:val="none" w:sz="0" w:space="0" w:color="auto"/>
                <w:bottom w:val="none" w:sz="0" w:space="0" w:color="auto"/>
                <w:right w:val="none" w:sz="0" w:space="0" w:color="auto"/>
              </w:divBdr>
            </w:div>
            <w:div w:id="761948527">
              <w:marLeft w:val="0"/>
              <w:marRight w:val="0"/>
              <w:marTop w:val="0"/>
              <w:marBottom w:val="0"/>
              <w:divBdr>
                <w:top w:val="none" w:sz="0" w:space="0" w:color="auto"/>
                <w:left w:val="none" w:sz="0" w:space="0" w:color="auto"/>
                <w:bottom w:val="none" w:sz="0" w:space="0" w:color="auto"/>
                <w:right w:val="none" w:sz="0" w:space="0" w:color="auto"/>
              </w:divBdr>
            </w:div>
            <w:div w:id="814103413">
              <w:marLeft w:val="0"/>
              <w:marRight w:val="0"/>
              <w:marTop w:val="0"/>
              <w:marBottom w:val="0"/>
              <w:divBdr>
                <w:top w:val="none" w:sz="0" w:space="0" w:color="auto"/>
                <w:left w:val="none" w:sz="0" w:space="0" w:color="auto"/>
                <w:bottom w:val="none" w:sz="0" w:space="0" w:color="auto"/>
                <w:right w:val="none" w:sz="0" w:space="0" w:color="auto"/>
              </w:divBdr>
            </w:div>
            <w:div w:id="889806050">
              <w:marLeft w:val="0"/>
              <w:marRight w:val="0"/>
              <w:marTop w:val="0"/>
              <w:marBottom w:val="0"/>
              <w:divBdr>
                <w:top w:val="none" w:sz="0" w:space="0" w:color="auto"/>
                <w:left w:val="none" w:sz="0" w:space="0" w:color="auto"/>
                <w:bottom w:val="none" w:sz="0" w:space="0" w:color="auto"/>
                <w:right w:val="none" w:sz="0" w:space="0" w:color="auto"/>
              </w:divBdr>
            </w:div>
            <w:div w:id="916943344">
              <w:marLeft w:val="0"/>
              <w:marRight w:val="0"/>
              <w:marTop w:val="0"/>
              <w:marBottom w:val="0"/>
              <w:divBdr>
                <w:top w:val="none" w:sz="0" w:space="0" w:color="auto"/>
                <w:left w:val="none" w:sz="0" w:space="0" w:color="auto"/>
                <w:bottom w:val="none" w:sz="0" w:space="0" w:color="auto"/>
                <w:right w:val="none" w:sz="0" w:space="0" w:color="auto"/>
              </w:divBdr>
            </w:div>
            <w:div w:id="918757090">
              <w:marLeft w:val="0"/>
              <w:marRight w:val="0"/>
              <w:marTop w:val="0"/>
              <w:marBottom w:val="0"/>
              <w:divBdr>
                <w:top w:val="none" w:sz="0" w:space="0" w:color="auto"/>
                <w:left w:val="none" w:sz="0" w:space="0" w:color="auto"/>
                <w:bottom w:val="none" w:sz="0" w:space="0" w:color="auto"/>
                <w:right w:val="none" w:sz="0" w:space="0" w:color="auto"/>
              </w:divBdr>
            </w:div>
            <w:div w:id="932278492">
              <w:marLeft w:val="0"/>
              <w:marRight w:val="0"/>
              <w:marTop w:val="0"/>
              <w:marBottom w:val="0"/>
              <w:divBdr>
                <w:top w:val="none" w:sz="0" w:space="0" w:color="auto"/>
                <w:left w:val="none" w:sz="0" w:space="0" w:color="auto"/>
                <w:bottom w:val="none" w:sz="0" w:space="0" w:color="auto"/>
                <w:right w:val="none" w:sz="0" w:space="0" w:color="auto"/>
              </w:divBdr>
            </w:div>
            <w:div w:id="963389631">
              <w:marLeft w:val="0"/>
              <w:marRight w:val="0"/>
              <w:marTop w:val="0"/>
              <w:marBottom w:val="0"/>
              <w:divBdr>
                <w:top w:val="none" w:sz="0" w:space="0" w:color="auto"/>
                <w:left w:val="none" w:sz="0" w:space="0" w:color="auto"/>
                <w:bottom w:val="none" w:sz="0" w:space="0" w:color="auto"/>
                <w:right w:val="none" w:sz="0" w:space="0" w:color="auto"/>
              </w:divBdr>
            </w:div>
            <w:div w:id="1004432835">
              <w:marLeft w:val="0"/>
              <w:marRight w:val="0"/>
              <w:marTop w:val="0"/>
              <w:marBottom w:val="0"/>
              <w:divBdr>
                <w:top w:val="none" w:sz="0" w:space="0" w:color="auto"/>
                <w:left w:val="none" w:sz="0" w:space="0" w:color="auto"/>
                <w:bottom w:val="none" w:sz="0" w:space="0" w:color="auto"/>
                <w:right w:val="none" w:sz="0" w:space="0" w:color="auto"/>
              </w:divBdr>
            </w:div>
            <w:div w:id="1156797176">
              <w:marLeft w:val="0"/>
              <w:marRight w:val="0"/>
              <w:marTop w:val="0"/>
              <w:marBottom w:val="0"/>
              <w:divBdr>
                <w:top w:val="none" w:sz="0" w:space="0" w:color="auto"/>
                <w:left w:val="none" w:sz="0" w:space="0" w:color="auto"/>
                <w:bottom w:val="none" w:sz="0" w:space="0" w:color="auto"/>
                <w:right w:val="none" w:sz="0" w:space="0" w:color="auto"/>
              </w:divBdr>
            </w:div>
            <w:div w:id="1216358314">
              <w:marLeft w:val="0"/>
              <w:marRight w:val="0"/>
              <w:marTop w:val="0"/>
              <w:marBottom w:val="0"/>
              <w:divBdr>
                <w:top w:val="none" w:sz="0" w:space="0" w:color="auto"/>
                <w:left w:val="none" w:sz="0" w:space="0" w:color="auto"/>
                <w:bottom w:val="none" w:sz="0" w:space="0" w:color="auto"/>
                <w:right w:val="none" w:sz="0" w:space="0" w:color="auto"/>
              </w:divBdr>
            </w:div>
            <w:div w:id="1375613935">
              <w:marLeft w:val="0"/>
              <w:marRight w:val="0"/>
              <w:marTop w:val="0"/>
              <w:marBottom w:val="0"/>
              <w:divBdr>
                <w:top w:val="none" w:sz="0" w:space="0" w:color="auto"/>
                <w:left w:val="none" w:sz="0" w:space="0" w:color="auto"/>
                <w:bottom w:val="none" w:sz="0" w:space="0" w:color="auto"/>
                <w:right w:val="none" w:sz="0" w:space="0" w:color="auto"/>
              </w:divBdr>
            </w:div>
            <w:div w:id="1533570719">
              <w:marLeft w:val="0"/>
              <w:marRight w:val="0"/>
              <w:marTop w:val="0"/>
              <w:marBottom w:val="0"/>
              <w:divBdr>
                <w:top w:val="none" w:sz="0" w:space="0" w:color="auto"/>
                <w:left w:val="none" w:sz="0" w:space="0" w:color="auto"/>
                <w:bottom w:val="none" w:sz="0" w:space="0" w:color="auto"/>
                <w:right w:val="none" w:sz="0" w:space="0" w:color="auto"/>
              </w:divBdr>
            </w:div>
            <w:div w:id="1693527235">
              <w:marLeft w:val="0"/>
              <w:marRight w:val="0"/>
              <w:marTop w:val="0"/>
              <w:marBottom w:val="0"/>
              <w:divBdr>
                <w:top w:val="none" w:sz="0" w:space="0" w:color="auto"/>
                <w:left w:val="none" w:sz="0" w:space="0" w:color="auto"/>
                <w:bottom w:val="none" w:sz="0" w:space="0" w:color="auto"/>
                <w:right w:val="none" w:sz="0" w:space="0" w:color="auto"/>
              </w:divBdr>
            </w:div>
            <w:div w:id="1712849523">
              <w:marLeft w:val="0"/>
              <w:marRight w:val="0"/>
              <w:marTop w:val="0"/>
              <w:marBottom w:val="0"/>
              <w:divBdr>
                <w:top w:val="none" w:sz="0" w:space="0" w:color="auto"/>
                <w:left w:val="none" w:sz="0" w:space="0" w:color="auto"/>
                <w:bottom w:val="none" w:sz="0" w:space="0" w:color="auto"/>
                <w:right w:val="none" w:sz="0" w:space="0" w:color="auto"/>
              </w:divBdr>
            </w:div>
            <w:div w:id="1766877482">
              <w:marLeft w:val="0"/>
              <w:marRight w:val="0"/>
              <w:marTop w:val="0"/>
              <w:marBottom w:val="0"/>
              <w:divBdr>
                <w:top w:val="none" w:sz="0" w:space="0" w:color="auto"/>
                <w:left w:val="none" w:sz="0" w:space="0" w:color="auto"/>
                <w:bottom w:val="none" w:sz="0" w:space="0" w:color="auto"/>
                <w:right w:val="none" w:sz="0" w:space="0" w:color="auto"/>
              </w:divBdr>
            </w:div>
            <w:div w:id="1983384571">
              <w:marLeft w:val="0"/>
              <w:marRight w:val="0"/>
              <w:marTop w:val="0"/>
              <w:marBottom w:val="0"/>
              <w:divBdr>
                <w:top w:val="none" w:sz="0" w:space="0" w:color="auto"/>
                <w:left w:val="none" w:sz="0" w:space="0" w:color="auto"/>
                <w:bottom w:val="none" w:sz="0" w:space="0" w:color="auto"/>
                <w:right w:val="none" w:sz="0" w:space="0" w:color="auto"/>
              </w:divBdr>
            </w:div>
            <w:div w:id="2063169936">
              <w:marLeft w:val="0"/>
              <w:marRight w:val="0"/>
              <w:marTop w:val="0"/>
              <w:marBottom w:val="0"/>
              <w:divBdr>
                <w:top w:val="none" w:sz="0" w:space="0" w:color="auto"/>
                <w:left w:val="none" w:sz="0" w:space="0" w:color="auto"/>
                <w:bottom w:val="none" w:sz="0" w:space="0" w:color="auto"/>
                <w:right w:val="none" w:sz="0" w:space="0" w:color="auto"/>
              </w:divBdr>
            </w:div>
          </w:divsChild>
        </w:div>
        <w:div w:id="1697921897">
          <w:marLeft w:val="0"/>
          <w:marRight w:val="0"/>
          <w:marTop w:val="0"/>
          <w:marBottom w:val="0"/>
          <w:divBdr>
            <w:top w:val="none" w:sz="0" w:space="0" w:color="auto"/>
            <w:left w:val="none" w:sz="0" w:space="0" w:color="auto"/>
            <w:bottom w:val="none" w:sz="0" w:space="0" w:color="auto"/>
            <w:right w:val="none" w:sz="0" w:space="0" w:color="auto"/>
          </w:divBdr>
        </w:div>
        <w:div w:id="1727030013">
          <w:marLeft w:val="0"/>
          <w:marRight w:val="0"/>
          <w:marTop w:val="0"/>
          <w:marBottom w:val="0"/>
          <w:divBdr>
            <w:top w:val="none" w:sz="0" w:space="0" w:color="auto"/>
            <w:left w:val="none" w:sz="0" w:space="0" w:color="auto"/>
            <w:bottom w:val="none" w:sz="0" w:space="0" w:color="auto"/>
            <w:right w:val="none" w:sz="0" w:space="0" w:color="auto"/>
          </w:divBdr>
        </w:div>
        <w:div w:id="1946646923">
          <w:marLeft w:val="0"/>
          <w:marRight w:val="0"/>
          <w:marTop w:val="0"/>
          <w:marBottom w:val="0"/>
          <w:divBdr>
            <w:top w:val="none" w:sz="0" w:space="0" w:color="auto"/>
            <w:left w:val="none" w:sz="0" w:space="0" w:color="auto"/>
            <w:bottom w:val="none" w:sz="0" w:space="0" w:color="auto"/>
            <w:right w:val="none" w:sz="0" w:space="0" w:color="auto"/>
          </w:divBdr>
        </w:div>
        <w:div w:id="1957053754">
          <w:marLeft w:val="0"/>
          <w:marRight w:val="0"/>
          <w:marTop w:val="0"/>
          <w:marBottom w:val="0"/>
          <w:divBdr>
            <w:top w:val="none" w:sz="0" w:space="0" w:color="auto"/>
            <w:left w:val="none" w:sz="0" w:space="0" w:color="auto"/>
            <w:bottom w:val="none" w:sz="0" w:space="0" w:color="auto"/>
            <w:right w:val="none" w:sz="0" w:space="0" w:color="auto"/>
          </w:divBdr>
        </w:div>
        <w:div w:id="2022202400">
          <w:marLeft w:val="0"/>
          <w:marRight w:val="0"/>
          <w:marTop w:val="0"/>
          <w:marBottom w:val="0"/>
          <w:divBdr>
            <w:top w:val="none" w:sz="0" w:space="0" w:color="auto"/>
            <w:left w:val="none" w:sz="0" w:space="0" w:color="auto"/>
            <w:bottom w:val="none" w:sz="0" w:space="0" w:color="auto"/>
            <w:right w:val="none" w:sz="0" w:space="0" w:color="auto"/>
          </w:divBdr>
        </w:div>
        <w:div w:id="2027632880">
          <w:marLeft w:val="0"/>
          <w:marRight w:val="0"/>
          <w:marTop w:val="0"/>
          <w:marBottom w:val="0"/>
          <w:divBdr>
            <w:top w:val="none" w:sz="0" w:space="0" w:color="auto"/>
            <w:left w:val="none" w:sz="0" w:space="0" w:color="auto"/>
            <w:bottom w:val="none" w:sz="0" w:space="0" w:color="auto"/>
            <w:right w:val="none" w:sz="0" w:space="0" w:color="auto"/>
          </w:divBdr>
        </w:div>
        <w:div w:id="2128809262">
          <w:marLeft w:val="0"/>
          <w:marRight w:val="0"/>
          <w:marTop w:val="0"/>
          <w:marBottom w:val="0"/>
          <w:divBdr>
            <w:top w:val="none" w:sz="0" w:space="0" w:color="auto"/>
            <w:left w:val="none" w:sz="0" w:space="0" w:color="auto"/>
            <w:bottom w:val="none" w:sz="0" w:space="0" w:color="auto"/>
            <w:right w:val="none" w:sz="0" w:space="0" w:color="auto"/>
          </w:divBdr>
        </w:div>
      </w:divsChild>
    </w:div>
    <w:div w:id="634945076">
      <w:bodyDiv w:val="1"/>
      <w:marLeft w:val="0"/>
      <w:marRight w:val="0"/>
      <w:marTop w:val="0"/>
      <w:marBottom w:val="0"/>
      <w:divBdr>
        <w:top w:val="none" w:sz="0" w:space="0" w:color="auto"/>
        <w:left w:val="none" w:sz="0" w:space="0" w:color="auto"/>
        <w:bottom w:val="none" w:sz="0" w:space="0" w:color="auto"/>
        <w:right w:val="none" w:sz="0" w:space="0" w:color="auto"/>
      </w:divBdr>
    </w:div>
    <w:div w:id="698437603">
      <w:bodyDiv w:val="1"/>
      <w:marLeft w:val="0"/>
      <w:marRight w:val="0"/>
      <w:marTop w:val="0"/>
      <w:marBottom w:val="0"/>
      <w:divBdr>
        <w:top w:val="none" w:sz="0" w:space="0" w:color="auto"/>
        <w:left w:val="none" w:sz="0" w:space="0" w:color="auto"/>
        <w:bottom w:val="none" w:sz="0" w:space="0" w:color="auto"/>
        <w:right w:val="none" w:sz="0" w:space="0" w:color="auto"/>
      </w:divBdr>
    </w:div>
    <w:div w:id="739059524">
      <w:bodyDiv w:val="1"/>
      <w:marLeft w:val="0"/>
      <w:marRight w:val="0"/>
      <w:marTop w:val="0"/>
      <w:marBottom w:val="0"/>
      <w:divBdr>
        <w:top w:val="none" w:sz="0" w:space="0" w:color="auto"/>
        <w:left w:val="none" w:sz="0" w:space="0" w:color="auto"/>
        <w:bottom w:val="none" w:sz="0" w:space="0" w:color="auto"/>
        <w:right w:val="none" w:sz="0" w:space="0" w:color="auto"/>
      </w:divBdr>
    </w:div>
    <w:div w:id="913395994">
      <w:bodyDiv w:val="1"/>
      <w:marLeft w:val="0"/>
      <w:marRight w:val="0"/>
      <w:marTop w:val="0"/>
      <w:marBottom w:val="0"/>
      <w:divBdr>
        <w:top w:val="none" w:sz="0" w:space="0" w:color="auto"/>
        <w:left w:val="none" w:sz="0" w:space="0" w:color="auto"/>
        <w:bottom w:val="none" w:sz="0" w:space="0" w:color="auto"/>
        <w:right w:val="none" w:sz="0" w:space="0" w:color="auto"/>
      </w:divBdr>
      <w:divsChild>
        <w:div w:id="20790821">
          <w:marLeft w:val="0"/>
          <w:marRight w:val="0"/>
          <w:marTop w:val="0"/>
          <w:marBottom w:val="0"/>
          <w:divBdr>
            <w:top w:val="none" w:sz="0" w:space="0" w:color="auto"/>
            <w:left w:val="none" w:sz="0" w:space="0" w:color="auto"/>
            <w:bottom w:val="none" w:sz="0" w:space="0" w:color="auto"/>
            <w:right w:val="none" w:sz="0" w:space="0" w:color="auto"/>
          </w:divBdr>
          <w:divsChild>
            <w:div w:id="1132214643">
              <w:marLeft w:val="-75"/>
              <w:marRight w:val="0"/>
              <w:marTop w:val="30"/>
              <w:marBottom w:val="30"/>
              <w:divBdr>
                <w:top w:val="none" w:sz="0" w:space="0" w:color="auto"/>
                <w:left w:val="none" w:sz="0" w:space="0" w:color="auto"/>
                <w:bottom w:val="none" w:sz="0" w:space="0" w:color="auto"/>
                <w:right w:val="none" w:sz="0" w:space="0" w:color="auto"/>
              </w:divBdr>
              <w:divsChild>
                <w:div w:id="116803340">
                  <w:marLeft w:val="0"/>
                  <w:marRight w:val="0"/>
                  <w:marTop w:val="0"/>
                  <w:marBottom w:val="0"/>
                  <w:divBdr>
                    <w:top w:val="none" w:sz="0" w:space="0" w:color="auto"/>
                    <w:left w:val="none" w:sz="0" w:space="0" w:color="auto"/>
                    <w:bottom w:val="none" w:sz="0" w:space="0" w:color="auto"/>
                    <w:right w:val="none" w:sz="0" w:space="0" w:color="auto"/>
                  </w:divBdr>
                  <w:divsChild>
                    <w:div w:id="52897953">
                      <w:marLeft w:val="0"/>
                      <w:marRight w:val="0"/>
                      <w:marTop w:val="0"/>
                      <w:marBottom w:val="0"/>
                      <w:divBdr>
                        <w:top w:val="none" w:sz="0" w:space="0" w:color="auto"/>
                        <w:left w:val="none" w:sz="0" w:space="0" w:color="auto"/>
                        <w:bottom w:val="none" w:sz="0" w:space="0" w:color="auto"/>
                        <w:right w:val="none" w:sz="0" w:space="0" w:color="auto"/>
                      </w:divBdr>
                    </w:div>
                    <w:div w:id="718818710">
                      <w:marLeft w:val="0"/>
                      <w:marRight w:val="0"/>
                      <w:marTop w:val="0"/>
                      <w:marBottom w:val="0"/>
                      <w:divBdr>
                        <w:top w:val="none" w:sz="0" w:space="0" w:color="auto"/>
                        <w:left w:val="none" w:sz="0" w:space="0" w:color="auto"/>
                        <w:bottom w:val="none" w:sz="0" w:space="0" w:color="auto"/>
                        <w:right w:val="none" w:sz="0" w:space="0" w:color="auto"/>
                      </w:divBdr>
                    </w:div>
                    <w:div w:id="1240751288">
                      <w:marLeft w:val="0"/>
                      <w:marRight w:val="0"/>
                      <w:marTop w:val="0"/>
                      <w:marBottom w:val="0"/>
                      <w:divBdr>
                        <w:top w:val="none" w:sz="0" w:space="0" w:color="auto"/>
                        <w:left w:val="none" w:sz="0" w:space="0" w:color="auto"/>
                        <w:bottom w:val="none" w:sz="0" w:space="0" w:color="auto"/>
                        <w:right w:val="none" w:sz="0" w:space="0" w:color="auto"/>
                      </w:divBdr>
                    </w:div>
                    <w:div w:id="1709180737">
                      <w:marLeft w:val="0"/>
                      <w:marRight w:val="0"/>
                      <w:marTop w:val="0"/>
                      <w:marBottom w:val="0"/>
                      <w:divBdr>
                        <w:top w:val="none" w:sz="0" w:space="0" w:color="auto"/>
                        <w:left w:val="none" w:sz="0" w:space="0" w:color="auto"/>
                        <w:bottom w:val="none" w:sz="0" w:space="0" w:color="auto"/>
                        <w:right w:val="none" w:sz="0" w:space="0" w:color="auto"/>
                      </w:divBdr>
                    </w:div>
                    <w:div w:id="1856142802">
                      <w:marLeft w:val="0"/>
                      <w:marRight w:val="0"/>
                      <w:marTop w:val="0"/>
                      <w:marBottom w:val="0"/>
                      <w:divBdr>
                        <w:top w:val="none" w:sz="0" w:space="0" w:color="auto"/>
                        <w:left w:val="none" w:sz="0" w:space="0" w:color="auto"/>
                        <w:bottom w:val="none" w:sz="0" w:space="0" w:color="auto"/>
                        <w:right w:val="none" w:sz="0" w:space="0" w:color="auto"/>
                      </w:divBdr>
                    </w:div>
                    <w:div w:id="1995643456">
                      <w:marLeft w:val="0"/>
                      <w:marRight w:val="0"/>
                      <w:marTop w:val="0"/>
                      <w:marBottom w:val="0"/>
                      <w:divBdr>
                        <w:top w:val="none" w:sz="0" w:space="0" w:color="auto"/>
                        <w:left w:val="none" w:sz="0" w:space="0" w:color="auto"/>
                        <w:bottom w:val="none" w:sz="0" w:space="0" w:color="auto"/>
                        <w:right w:val="none" w:sz="0" w:space="0" w:color="auto"/>
                      </w:divBdr>
                    </w:div>
                  </w:divsChild>
                </w:div>
                <w:div w:id="190339945">
                  <w:marLeft w:val="0"/>
                  <w:marRight w:val="0"/>
                  <w:marTop w:val="0"/>
                  <w:marBottom w:val="0"/>
                  <w:divBdr>
                    <w:top w:val="none" w:sz="0" w:space="0" w:color="auto"/>
                    <w:left w:val="none" w:sz="0" w:space="0" w:color="auto"/>
                    <w:bottom w:val="none" w:sz="0" w:space="0" w:color="auto"/>
                    <w:right w:val="none" w:sz="0" w:space="0" w:color="auto"/>
                  </w:divBdr>
                  <w:divsChild>
                    <w:div w:id="1842768083">
                      <w:marLeft w:val="0"/>
                      <w:marRight w:val="0"/>
                      <w:marTop w:val="0"/>
                      <w:marBottom w:val="0"/>
                      <w:divBdr>
                        <w:top w:val="none" w:sz="0" w:space="0" w:color="auto"/>
                        <w:left w:val="none" w:sz="0" w:space="0" w:color="auto"/>
                        <w:bottom w:val="none" w:sz="0" w:space="0" w:color="auto"/>
                        <w:right w:val="none" w:sz="0" w:space="0" w:color="auto"/>
                      </w:divBdr>
                    </w:div>
                  </w:divsChild>
                </w:div>
                <w:div w:id="198131636">
                  <w:marLeft w:val="0"/>
                  <w:marRight w:val="0"/>
                  <w:marTop w:val="0"/>
                  <w:marBottom w:val="0"/>
                  <w:divBdr>
                    <w:top w:val="none" w:sz="0" w:space="0" w:color="auto"/>
                    <w:left w:val="none" w:sz="0" w:space="0" w:color="auto"/>
                    <w:bottom w:val="none" w:sz="0" w:space="0" w:color="auto"/>
                    <w:right w:val="none" w:sz="0" w:space="0" w:color="auto"/>
                  </w:divBdr>
                  <w:divsChild>
                    <w:div w:id="78907902">
                      <w:marLeft w:val="0"/>
                      <w:marRight w:val="0"/>
                      <w:marTop w:val="0"/>
                      <w:marBottom w:val="0"/>
                      <w:divBdr>
                        <w:top w:val="none" w:sz="0" w:space="0" w:color="auto"/>
                        <w:left w:val="none" w:sz="0" w:space="0" w:color="auto"/>
                        <w:bottom w:val="none" w:sz="0" w:space="0" w:color="auto"/>
                        <w:right w:val="none" w:sz="0" w:space="0" w:color="auto"/>
                      </w:divBdr>
                    </w:div>
                    <w:div w:id="228617706">
                      <w:marLeft w:val="0"/>
                      <w:marRight w:val="0"/>
                      <w:marTop w:val="0"/>
                      <w:marBottom w:val="0"/>
                      <w:divBdr>
                        <w:top w:val="none" w:sz="0" w:space="0" w:color="auto"/>
                        <w:left w:val="none" w:sz="0" w:space="0" w:color="auto"/>
                        <w:bottom w:val="none" w:sz="0" w:space="0" w:color="auto"/>
                        <w:right w:val="none" w:sz="0" w:space="0" w:color="auto"/>
                      </w:divBdr>
                    </w:div>
                    <w:div w:id="474684024">
                      <w:marLeft w:val="0"/>
                      <w:marRight w:val="0"/>
                      <w:marTop w:val="0"/>
                      <w:marBottom w:val="0"/>
                      <w:divBdr>
                        <w:top w:val="none" w:sz="0" w:space="0" w:color="auto"/>
                        <w:left w:val="none" w:sz="0" w:space="0" w:color="auto"/>
                        <w:bottom w:val="none" w:sz="0" w:space="0" w:color="auto"/>
                        <w:right w:val="none" w:sz="0" w:space="0" w:color="auto"/>
                      </w:divBdr>
                    </w:div>
                    <w:div w:id="1122773756">
                      <w:marLeft w:val="0"/>
                      <w:marRight w:val="0"/>
                      <w:marTop w:val="0"/>
                      <w:marBottom w:val="0"/>
                      <w:divBdr>
                        <w:top w:val="none" w:sz="0" w:space="0" w:color="auto"/>
                        <w:left w:val="none" w:sz="0" w:space="0" w:color="auto"/>
                        <w:bottom w:val="none" w:sz="0" w:space="0" w:color="auto"/>
                        <w:right w:val="none" w:sz="0" w:space="0" w:color="auto"/>
                      </w:divBdr>
                    </w:div>
                    <w:div w:id="1930038404">
                      <w:marLeft w:val="0"/>
                      <w:marRight w:val="0"/>
                      <w:marTop w:val="0"/>
                      <w:marBottom w:val="0"/>
                      <w:divBdr>
                        <w:top w:val="none" w:sz="0" w:space="0" w:color="auto"/>
                        <w:left w:val="none" w:sz="0" w:space="0" w:color="auto"/>
                        <w:bottom w:val="none" w:sz="0" w:space="0" w:color="auto"/>
                        <w:right w:val="none" w:sz="0" w:space="0" w:color="auto"/>
                      </w:divBdr>
                    </w:div>
                  </w:divsChild>
                </w:div>
                <w:div w:id="360937759">
                  <w:marLeft w:val="0"/>
                  <w:marRight w:val="0"/>
                  <w:marTop w:val="0"/>
                  <w:marBottom w:val="0"/>
                  <w:divBdr>
                    <w:top w:val="none" w:sz="0" w:space="0" w:color="auto"/>
                    <w:left w:val="none" w:sz="0" w:space="0" w:color="auto"/>
                    <w:bottom w:val="none" w:sz="0" w:space="0" w:color="auto"/>
                    <w:right w:val="none" w:sz="0" w:space="0" w:color="auto"/>
                  </w:divBdr>
                  <w:divsChild>
                    <w:div w:id="1829244125">
                      <w:marLeft w:val="0"/>
                      <w:marRight w:val="0"/>
                      <w:marTop w:val="0"/>
                      <w:marBottom w:val="0"/>
                      <w:divBdr>
                        <w:top w:val="none" w:sz="0" w:space="0" w:color="auto"/>
                        <w:left w:val="none" w:sz="0" w:space="0" w:color="auto"/>
                        <w:bottom w:val="none" w:sz="0" w:space="0" w:color="auto"/>
                        <w:right w:val="none" w:sz="0" w:space="0" w:color="auto"/>
                      </w:divBdr>
                    </w:div>
                  </w:divsChild>
                </w:div>
                <w:div w:id="553976164">
                  <w:marLeft w:val="0"/>
                  <w:marRight w:val="0"/>
                  <w:marTop w:val="0"/>
                  <w:marBottom w:val="0"/>
                  <w:divBdr>
                    <w:top w:val="none" w:sz="0" w:space="0" w:color="auto"/>
                    <w:left w:val="none" w:sz="0" w:space="0" w:color="auto"/>
                    <w:bottom w:val="none" w:sz="0" w:space="0" w:color="auto"/>
                    <w:right w:val="none" w:sz="0" w:space="0" w:color="auto"/>
                  </w:divBdr>
                  <w:divsChild>
                    <w:div w:id="706760897">
                      <w:marLeft w:val="0"/>
                      <w:marRight w:val="0"/>
                      <w:marTop w:val="0"/>
                      <w:marBottom w:val="0"/>
                      <w:divBdr>
                        <w:top w:val="none" w:sz="0" w:space="0" w:color="auto"/>
                        <w:left w:val="none" w:sz="0" w:space="0" w:color="auto"/>
                        <w:bottom w:val="none" w:sz="0" w:space="0" w:color="auto"/>
                        <w:right w:val="none" w:sz="0" w:space="0" w:color="auto"/>
                      </w:divBdr>
                    </w:div>
                    <w:div w:id="818427681">
                      <w:marLeft w:val="0"/>
                      <w:marRight w:val="0"/>
                      <w:marTop w:val="0"/>
                      <w:marBottom w:val="0"/>
                      <w:divBdr>
                        <w:top w:val="none" w:sz="0" w:space="0" w:color="auto"/>
                        <w:left w:val="none" w:sz="0" w:space="0" w:color="auto"/>
                        <w:bottom w:val="none" w:sz="0" w:space="0" w:color="auto"/>
                        <w:right w:val="none" w:sz="0" w:space="0" w:color="auto"/>
                      </w:divBdr>
                    </w:div>
                    <w:div w:id="1055817007">
                      <w:marLeft w:val="0"/>
                      <w:marRight w:val="0"/>
                      <w:marTop w:val="0"/>
                      <w:marBottom w:val="0"/>
                      <w:divBdr>
                        <w:top w:val="none" w:sz="0" w:space="0" w:color="auto"/>
                        <w:left w:val="none" w:sz="0" w:space="0" w:color="auto"/>
                        <w:bottom w:val="none" w:sz="0" w:space="0" w:color="auto"/>
                        <w:right w:val="none" w:sz="0" w:space="0" w:color="auto"/>
                      </w:divBdr>
                    </w:div>
                    <w:div w:id="1188955451">
                      <w:marLeft w:val="0"/>
                      <w:marRight w:val="0"/>
                      <w:marTop w:val="0"/>
                      <w:marBottom w:val="0"/>
                      <w:divBdr>
                        <w:top w:val="none" w:sz="0" w:space="0" w:color="auto"/>
                        <w:left w:val="none" w:sz="0" w:space="0" w:color="auto"/>
                        <w:bottom w:val="none" w:sz="0" w:space="0" w:color="auto"/>
                        <w:right w:val="none" w:sz="0" w:space="0" w:color="auto"/>
                      </w:divBdr>
                    </w:div>
                  </w:divsChild>
                </w:div>
                <w:div w:id="767578882">
                  <w:marLeft w:val="0"/>
                  <w:marRight w:val="0"/>
                  <w:marTop w:val="0"/>
                  <w:marBottom w:val="0"/>
                  <w:divBdr>
                    <w:top w:val="none" w:sz="0" w:space="0" w:color="auto"/>
                    <w:left w:val="none" w:sz="0" w:space="0" w:color="auto"/>
                    <w:bottom w:val="none" w:sz="0" w:space="0" w:color="auto"/>
                    <w:right w:val="none" w:sz="0" w:space="0" w:color="auto"/>
                  </w:divBdr>
                  <w:divsChild>
                    <w:div w:id="607853591">
                      <w:marLeft w:val="0"/>
                      <w:marRight w:val="0"/>
                      <w:marTop w:val="0"/>
                      <w:marBottom w:val="0"/>
                      <w:divBdr>
                        <w:top w:val="none" w:sz="0" w:space="0" w:color="auto"/>
                        <w:left w:val="none" w:sz="0" w:space="0" w:color="auto"/>
                        <w:bottom w:val="none" w:sz="0" w:space="0" w:color="auto"/>
                        <w:right w:val="none" w:sz="0" w:space="0" w:color="auto"/>
                      </w:divBdr>
                    </w:div>
                  </w:divsChild>
                </w:div>
                <w:div w:id="986401665">
                  <w:marLeft w:val="0"/>
                  <w:marRight w:val="0"/>
                  <w:marTop w:val="0"/>
                  <w:marBottom w:val="0"/>
                  <w:divBdr>
                    <w:top w:val="none" w:sz="0" w:space="0" w:color="auto"/>
                    <w:left w:val="none" w:sz="0" w:space="0" w:color="auto"/>
                    <w:bottom w:val="none" w:sz="0" w:space="0" w:color="auto"/>
                    <w:right w:val="none" w:sz="0" w:space="0" w:color="auto"/>
                  </w:divBdr>
                  <w:divsChild>
                    <w:div w:id="623001726">
                      <w:marLeft w:val="0"/>
                      <w:marRight w:val="0"/>
                      <w:marTop w:val="0"/>
                      <w:marBottom w:val="0"/>
                      <w:divBdr>
                        <w:top w:val="none" w:sz="0" w:space="0" w:color="auto"/>
                        <w:left w:val="none" w:sz="0" w:space="0" w:color="auto"/>
                        <w:bottom w:val="none" w:sz="0" w:space="0" w:color="auto"/>
                        <w:right w:val="none" w:sz="0" w:space="0" w:color="auto"/>
                      </w:divBdr>
                    </w:div>
                  </w:divsChild>
                </w:div>
                <w:div w:id="1134324456">
                  <w:marLeft w:val="0"/>
                  <w:marRight w:val="0"/>
                  <w:marTop w:val="0"/>
                  <w:marBottom w:val="0"/>
                  <w:divBdr>
                    <w:top w:val="none" w:sz="0" w:space="0" w:color="auto"/>
                    <w:left w:val="none" w:sz="0" w:space="0" w:color="auto"/>
                    <w:bottom w:val="none" w:sz="0" w:space="0" w:color="auto"/>
                    <w:right w:val="none" w:sz="0" w:space="0" w:color="auto"/>
                  </w:divBdr>
                  <w:divsChild>
                    <w:div w:id="358702708">
                      <w:marLeft w:val="0"/>
                      <w:marRight w:val="0"/>
                      <w:marTop w:val="0"/>
                      <w:marBottom w:val="0"/>
                      <w:divBdr>
                        <w:top w:val="none" w:sz="0" w:space="0" w:color="auto"/>
                        <w:left w:val="none" w:sz="0" w:space="0" w:color="auto"/>
                        <w:bottom w:val="none" w:sz="0" w:space="0" w:color="auto"/>
                        <w:right w:val="none" w:sz="0" w:space="0" w:color="auto"/>
                      </w:divBdr>
                    </w:div>
                    <w:div w:id="1915317541">
                      <w:marLeft w:val="0"/>
                      <w:marRight w:val="0"/>
                      <w:marTop w:val="0"/>
                      <w:marBottom w:val="0"/>
                      <w:divBdr>
                        <w:top w:val="none" w:sz="0" w:space="0" w:color="auto"/>
                        <w:left w:val="none" w:sz="0" w:space="0" w:color="auto"/>
                        <w:bottom w:val="none" w:sz="0" w:space="0" w:color="auto"/>
                        <w:right w:val="none" w:sz="0" w:space="0" w:color="auto"/>
                      </w:divBdr>
                    </w:div>
                    <w:div w:id="2063165597">
                      <w:marLeft w:val="0"/>
                      <w:marRight w:val="0"/>
                      <w:marTop w:val="0"/>
                      <w:marBottom w:val="0"/>
                      <w:divBdr>
                        <w:top w:val="none" w:sz="0" w:space="0" w:color="auto"/>
                        <w:left w:val="none" w:sz="0" w:space="0" w:color="auto"/>
                        <w:bottom w:val="none" w:sz="0" w:space="0" w:color="auto"/>
                        <w:right w:val="none" w:sz="0" w:space="0" w:color="auto"/>
                      </w:divBdr>
                    </w:div>
                  </w:divsChild>
                </w:div>
                <w:div w:id="1157309447">
                  <w:marLeft w:val="0"/>
                  <w:marRight w:val="0"/>
                  <w:marTop w:val="0"/>
                  <w:marBottom w:val="0"/>
                  <w:divBdr>
                    <w:top w:val="none" w:sz="0" w:space="0" w:color="auto"/>
                    <w:left w:val="none" w:sz="0" w:space="0" w:color="auto"/>
                    <w:bottom w:val="none" w:sz="0" w:space="0" w:color="auto"/>
                    <w:right w:val="none" w:sz="0" w:space="0" w:color="auto"/>
                  </w:divBdr>
                  <w:divsChild>
                    <w:div w:id="106581727">
                      <w:marLeft w:val="0"/>
                      <w:marRight w:val="0"/>
                      <w:marTop w:val="0"/>
                      <w:marBottom w:val="0"/>
                      <w:divBdr>
                        <w:top w:val="none" w:sz="0" w:space="0" w:color="auto"/>
                        <w:left w:val="none" w:sz="0" w:space="0" w:color="auto"/>
                        <w:bottom w:val="none" w:sz="0" w:space="0" w:color="auto"/>
                        <w:right w:val="none" w:sz="0" w:space="0" w:color="auto"/>
                      </w:divBdr>
                    </w:div>
                    <w:div w:id="428741208">
                      <w:marLeft w:val="0"/>
                      <w:marRight w:val="0"/>
                      <w:marTop w:val="0"/>
                      <w:marBottom w:val="0"/>
                      <w:divBdr>
                        <w:top w:val="none" w:sz="0" w:space="0" w:color="auto"/>
                        <w:left w:val="none" w:sz="0" w:space="0" w:color="auto"/>
                        <w:bottom w:val="none" w:sz="0" w:space="0" w:color="auto"/>
                        <w:right w:val="none" w:sz="0" w:space="0" w:color="auto"/>
                      </w:divBdr>
                    </w:div>
                    <w:div w:id="1312443488">
                      <w:marLeft w:val="0"/>
                      <w:marRight w:val="0"/>
                      <w:marTop w:val="0"/>
                      <w:marBottom w:val="0"/>
                      <w:divBdr>
                        <w:top w:val="none" w:sz="0" w:space="0" w:color="auto"/>
                        <w:left w:val="none" w:sz="0" w:space="0" w:color="auto"/>
                        <w:bottom w:val="none" w:sz="0" w:space="0" w:color="auto"/>
                        <w:right w:val="none" w:sz="0" w:space="0" w:color="auto"/>
                      </w:divBdr>
                    </w:div>
                    <w:div w:id="1882552007">
                      <w:marLeft w:val="0"/>
                      <w:marRight w:val="0"/>
                      <w:marTop w:val="0"/>
                      <w:marBottom w:val="0"/>
                      <w:divBdr>
                        <w:top w:val="none" w:sz="0" w:space="0" w:color="auto"/>
                        <w:left w:val="none" w:sz="0" w:space="0" w:color="auto"/>
                        <w:bottom w:val="none" w:sz="0" w:space="0" w:color="auto"/>
                        <w:right w:val="none" w:sz="0" w:space="0" w:color="auto"/>
                      </w:divBdr>
                    </w:div>
                  </w:divsChild>
                </w:div>
                <w:div w:id="1277366012">
                  <w:marLeft w:val="0"/>
                  <w:marRight w:val="0"/>
                  <w:marTop w:val="0"/>
                  <w:marBottom w:val="0"/>
                  <w:divBdr>
                    <w:top w:val="none" w:sz="0" w:space="0" w:color="auto"/>
                    <w:left w:val="none" w:sz="0" w:space="0" w:color="auto"/>
                    <w:bottom w:val="none" w:sz="0" w:space="0" w:color="auto"/>
                    <w:right w:val="none" w:sz="0" w:space="0" w:color="auto"/>
                  </w:divBdr>
                  <w:divsChild>
                    <w:div w:id="502206943">
                      <w:marLeft w:val="0"/>
                      <w:marRight w:val="0"/>
                      <w:marTop w:val="0"/>
                      <w:marBottom w:val="0"/>
                      <w:divBdr>
                        <w:top w:val="none" w:sz="0" w:space="0" w:color="auto"/>
                        <w:left w:val="none" w:sz="0" w:space="0" w:color="auto"/>
                        <w:bottom w:val="none" w:sz="0" w:space="0" w:color="auto"/>
                        <w:right w:val="none" w:sz="0" w:space="0" w:color="auto"/>
                      </w:divBdr>
                    </w:div>
                    <w:div w:id="959654543">
                      <w:marLeft w:val="0"/>
                      <w:marRight w:val="0"/>
                      <w:marTop w:val="0"/>
                      <w:marBottom w:val="0"/>
                      <w:divBdr>
                        <w:top w:val="none" w:sz="0" w:space="0" w:color="auto"/>
                        <w:left w:val="none" w:sz="0" w:space="0" w:color="auto"/>
                        <w:bottom w:val="none" w:sz="0" w:space="0" w:color="auto"/>
                        <w:right w:val="none" w:sz="0" w:space="0" w:color="auto"/>
                      </w:divBdr>
                    </w:div>
                    <w:div w:id="1196117070">
                      <w:marLeft w:val="0"/>
                      <w:marRight w:val="0"/>
                      <w:marTop w:val="0"/>
                      <w:marBottom w:val="0"/>
                      <w:divBdr>
                        <w:top w:val="none" w:sz="0" w:space="0" w:color="auto"/>
                        <w:left w:val="none" w:sz="0" w:space="0" w:color="auto"/>
                        <w:bottom w:val="none" w:sz="0" w:space="0" w:color="auto"/>
                        <w:right w:val="none" w:sz="0" w:space="0" w:color="auto"/>
                      </w:divBdr>
                    </w:div>
                    <w:div w:id="1478231034">
                      <w:marLeft w:val="0"/>
                      <w:marRight w:val="0"/>
                      <w:marTop w:val="0"/>
                      <w:marBottom w:val="0"/>
                      <w:divBdr>
                        <w:top w:val="none" w:sz="0" w:space="0" w:color="auto"/>
                        <w:left w:val="none" w:sz="0" w:space="0" w:color="auto"/>
                        <w:bottom w:val="none" w:sz="0" w:space="0" w:color="auto"/>
                        <w:right w:val="none" w:sz="0" w:space="0" w:color="auto"/>
                      </w:divBdr>
                    </w:div>
                    <w:div w:id="1847404537">
                      <w:marLeft w:val="0"/>
                      <w:marRight w:val="0"/>
                      <w:marTop w:val="0"/>
                      <w:marBottom w:val="0"/>
                      <w:divBdr>
                        <w:top w:val="none" w:sz="0" w:space="0" w:color="auto"/>
                        <w:left w:val="none" w:sz="0" w:space="0" w:color="auto"/>
                        <w:bottom w:val="none" w:sz="0" w:space="0" w:color="auto"/>
                        <w:right w:val="none" w:sz="0" w:space="0" w:color="auto"/>
                      </w:divBdr>
                    </w:div>
                    <w:div w:id="1971007674">
                      <w:marLeft w:val="0"/>
                      <w:marRight w:val="0"/>
                      <w:marTop w:val="0"/>
                      <w:marBottom w:val="0"/>
                      <w:divBdr>
                        <w:top w:val="none" w:sz="0" w:space="0" w:color="auto"/>
                        <w:left w:val="none" w:sz="0" w:space="0" w:color="auto"/>
                        <w:bottom w:val="none" w:sz="0" w:space="0" w:color="auto"/>
                        <w:right w:val="none" w:sz="0" w:space="0" w:color="auto"/>
                      </w:divBdr>
                    </w:div>
                  </w:divsChild>
                </w:div>
                <w:div w:id="1322735052">
                  <w:marLeft w:val="0"/>
                  <w:marRight w:val="0"/>
                  <w:marTop w:val="0"/>
                  <w:marBottom w:val="0"/>
                  <w:divBdr>
                    <w:top w:val="none" w:sz="0" w:space="0" w:color="auto"/>
                    <w:left w:val="none" w:sz="0" w:space="0" w:color="auto"/>
                    <w:bottom w:val="none" w:sz="0" w:space="0" w:color="auto"/>
                    <w:right w:val="none" w:sz="0" w:space="0" w:color="auto"/>
                  </w:divBdr>
                  <w:divsChild>
                    <w:div w:id="1932733925">
                      <w:marLeft w:val="0"/>
                      <w:marRight w:val="0"/>
                      <w:marTop w:val="0"/>
                      <w:marBottom w:val="0"/>
                      <w:divBdr>
                        <w:top w:val="none" w:sz="0" w:space="0" w:color="auto"/>
                        <w:left w:val="none" w:sz="0" w:space="0" w:color="auto"/>
                        <w:bottom w:val="none" w:sz="0" w:space="0" w:color="auto"/>
                        <w:right w:val="none" w:sz="0" w:space="0" w:color="auto"/>
                      </w:divBdr>
                    </w:div>
                  </w:divsChild>
                </w:div>
                <w:div w:id="1500388052">
                  <w:marLeft w:val="0"/>
                  <w:marRight w:val="0"/>
                  <w:marTop w:val="0"/>
                  <w:marBottom w:val="0"/>
                  <w:divBdr>
                    <w:top w:val="none" w:sz="0" w:space="0" w:color="auto"/>
                    <w:left w:val="none" w:sz="0" w:space="0" w:color="auto"/>
                    <w:bottom w:val="none" w:sz="0" w:space="0" w:color="auto"/>
                    <w:right w:val="none" w:sz="0" w:space="0" w:color="auto"/>
                  </w:divBdr>
                  <w:divsChild>
                    <w:div w:id="79447974">
                      <w:marLeft w:val="0"/>
                      <w:marRight w:val="0"/>
                      <w:marTop w:val="0"/>
                      <w:marBottom w:val="0"/>
                      <w:divBdr>
                        <w:top w:val="none" w:sz="0" w:space="0" w:color="auto"/>
                        <w:left w:val="none" w:sz="0" w:space="0" w:color="auto"/>
                        <w:bottom w:val="none" w:sz="0" w:space="0" w:color="auto"/>
                        <w:right w:val="none" w:sz="0" w:space="0" w:color="auto"/>
                      </w:divBdr>
                    </w:div>
                  </w:divsChild>
                </w:div>
                <w:div w:id="1558279776">
                  <w:marLeft w:val="0"/>
                  <w:marRight w:val="0"/>
                  <w:marTop w:val="0"/>
                  <w:marBottom w:val="0"/>
                  <w:divBdr>
                    <w:top w:val="none" w:sz="0" w:space="0" w:color="auto"/>
                    <w:left w:val="none" w:sz="0" w:space="0" w:color="auto"/>
                    <w:bottom w:val="none" w:sz="0" w:space="0" w:color="auto"/>
                    <w:right w:val="none" w:sz="0" w:space="0" w:color="auto"/>
                  </w:divBdr>
                  <w:divsChild>
                    <w:div w:id="879049484">
                      <w:marLeft w:val="0"/>
                      <w:marRight w:val="0"/>
                      <w:marTop w:val="0"/>
                      <w:marBottom w:val="0"/>
                      <w:divBdr>
                        <w:top w:val="none" w:sz="0" w:space="0" w:color="auto"/>
                        <w:left w:val="none" w:sz="0" w:space="0" w:color="auto"/>
                        <w:bottom w:val="none" w:sz="0" w:space="0" w:color="auto"/>
                        <w:right w:val="none" w:sz="0" w:space="0" w:color="auto"/>
                      </w:divBdr>
                    </w:div>
                  </w:divsChild>
                </w:div>
                <w:div w:id="1658147737">
                  <w:marLeft w:val="0"/>
                  <w:marRight w:val="0"/>
                  <w:marTop w:val="0"/>
                  <w:marBottom w:val="0"/>
                  <w:divBdr>
                    <w:top w:val="none" w:sz="0" w:space="0" w:color="auto"/>
                    <w:left w:val="none" w:sz="0" w:space="0" w:color="auto"/>
                    <w:bottom w:val="none" w:sz="0" w:space="0" w:color="auto"/>
                    <w:right w:val="none" w:sz="0" w:space="0" w:color="auto"/>
                  </w:divBdr>
                  <w:divsChild>
                    <w:div w:id="479418528">
                      <w:marLeft w:val="0"/>
                      <w:marRight w:val="0"/>
                      <w:marTop w:val="0"/>
                      <w:marBottom w:val="0"/>
                      <w:divBdr>
                        <w:top w:val="none" w:sz="0" w:space="0" w:color="auto"/>
                        <w:left w:val="none" w:sz="0" w:space="0" w:color="auto"/>
                        <w:bottom w:val="none" w:sz="0" w:space="0" w:color="auto"/>
                        <w:right w:val="none" w:sz="0" w:space="0" w:color="auto"/>
                      </w:divBdr>
                    </w:div>
                    <w:div w:id="1349874055">
                      <w:marLeft w:val="0"/>
                      <w:marRight w:val="0"/>
                      <w:marTop w:val="0"/>
                      <w:marBottom w:val="0"/>
                      <w:divBdr>
                        <w:top w:val="none" w:sz="0" w:space="0" w:color="auto"/>
                        <w:left w:val="none" w:sz="0" w:space="0" w:color="auto"/>
                        <w:bottom w:val="none" w:sz="0" w:space="0" w:color="auto"/>
                        <w:right w:val="none" w:sz="0" w:space="0" w:color="auto"/>
                      </w:divBdr>
                    </w:div>
                    <w:div w:id="1372418567">
                      <w:marLeft w:val="0"/>
                      <w:marRight w:val="0"/>
                      <w:marTop w:val="0"/>
                      <w:marBottom w:val="0"/>
                      <w:divBdr>
                        <w:top w:val="none" w:sz="0" w:space="0" w:color="auto"/>
                        <w:left w:val="none" w:sz="0" w:space="0" w:color="auto"/>
                        <w:bottom w:val="none" w:sz="0" w:space="0" w:color="auto"/>
                        <w:right w:val="none" w:sz="0" w:space="0" w:color="auto"/>
                      </w:divBdr>
                    </w:div>
                    <w:div w:id="1579946824">
                      <w:marLeft w:val="0"/>
                      <w:marRight w:val="0"/>
                      <w:marTop w:val="0"/>
                      <w:marBottom w:val="0"/>
                      <w:divBdr>
                        <w:top w:val="none" w:sz="0" w:space="0" w:color="auto"/>
                        <w:left w:val="none" w:sz="0" w:space="0" w:color="auto"/>
                        <w:bottom w:val="none" w:sz="0" w:space="0" w:color="auto"/>
                        <w:right w:val="none" w:sz="0" w:space="0" w:color="auto"/>
                      </w:divBdr>
                    </w:div>
                    <w:div w:id="2121293045">
                      <w:marLeft w:val="0"/>
                      <w:marRight w:val="0"/>
                      <w:marTop w:val="0"/>
                      <w:marBottom w:val="0"/>
                      <w:divBdr>
                        <w:top w:val="none" w:sz="0" w:space="0" w:color="auto"/>
                        <w:left w:val="none" w:sz="0" w:space="0" w:color="auto"/>
                        <w:bottom w:val="none" w:sz="0" w:space="0" w:color="auto"/>
                        <w:right w:val="none" w:sz="0" w:space="0" w:color="auto"/>
                      </w:divBdr>
                    </w:div>
                  </w:divsChild>
                </w:div>
                <w:div w:id="1664044704">
                  <w:marLeft w:val="0"/>
                  <w:marRight w:val="0"/>
                  <w:marTop w:val="0"/>
                  <w:marBottom w:val="0"/>
                  <w:divBdr>
                    <w:top w:val="none" w:sz="0" w:space="0" w:color="auto"/>
                    <w:left w:val="none" w:sz="0" w:space="0" w:color="auto"/>
                    <w:bottom w:val="none" w:sz="0" w:space="0" w:color="auto"/>
                    <w:right w:val="none" w:sz="0" w:space="0" w:color="auto"/>
                  </w:divBdr>
                  <w:divsChild>
                    <w:div w:id="797143831">
                      <w:marLeft w:val="0"/>
                      <w:marRight w:val="0"/>
                      <w:marTop w:val="0"/>
                      <w:marBottom w:val="0"/>
                      <w:divBdr>
                        <w:top w:val="none" w:sz="0" w:space="0" w:color="auto"/>
                        <w:left w:val="none" w:sz="0" w:space="0" w:color="auto"/>
                        <w:bottom w:val="none" w:sz="0" w:space="0" w:color="auto"/>
                        <w:right w:val="none" w:sz="0" w:space="0" w:color="auto"/>
                      </w:divBdr>
                    </w:div>
                  </w:divsChild>
                </w:div>
                <w:div w:id="1682856584">
                  <w:marLeft w:val="0"/>
                  <w:marRight w:val="0"/>
                  <w:marTop w:val="0"/>
                  <w:marBottom w:val="0"/>
                  <w:divBdr>
                    <w:top w:val="none" w:sz="0" w:space="0" w:color="auto"/>
                    <w:left w:val="none" w:sz="0" w:space="0" w:color="auto"/>
                    <w:bottom w:val="none" w:sz="0" w:space="0" w:color="auto"/>
                    <w:right w:val="none" w:sz="0" w:space="0" w:color="auto"/>
                  </w:divBdr>
                  <w:divsChild>
                    <w:div w:id="2057509872">
                      <w:marLeft w:val="0"/>
                      <w:marRight w:val="0"/>
                      <w:marTop w:val="0"/>
                      <w:marBottom w:val="0"/>
                      <w:divBdr>
                        <w:top w:val="none" w:sz="0" w:space="0" w:color="auto"/>
                        <w:left w:val="none" w:sz="0" w:space="0" w:color="auto"/>
                        <w:bottom w:val="none" w:sz="0" w:space="0" w:color="auto"/>
                        <w:right w:val="none" w:sz="0" w:space="0" w:color="auto"/>
                      </w:divBdr>
                    </w:div>
                  </w:divsChild>
                </w:div>
                <w:div w:id="1799103642">
                  <w:marLeft w:val="0"/>
                  <w:marRight w:val="0"/>
                  <w:marTop w:val="0"/>
                  <w:marBottom w:val="0"/>
                  <w:divBdr>
                    <w:top w:val="none" w:sz="0" w:space="0" w:color="auto"/>
                    <w:left w:val="none" w:sz="0" w:space="0" w:color="auto"/>
                    <w:bottom w:val="none" w:sz="0" w:space="0" w:color="auto"/>
                    <w:right w:val="none" w:sz="0" w:space="0" w:color="auto"/>
                  </w:divBdr>
                  <w:divsChild>
                    <w:div w:id="846292001">
                      <w:marLeft w:val="0"/>
                      <w:marRight w:val="0"/>
                      <w:marTop w:val="0"/>
                      <w:marBottom w:val="0"/>
                      <w:divBdr>
                        <w:top w:val="none" w:sz="0" w:space="0" w:color="auto"/>
                        <w:left w:val="none" w:sz="0" w:space="0" w:color="auto"/>
                        <w:bottom w:val="none" w:sz="0" w:space="0" w:color="auto"/>
                        <w:right w:val="none" w:sz="0" w:space="0" w:color="auto"/>
                      </w:divBdr>
                    </w:div>
                  </w:divsChild>
                </w:div>
                <w:div w:id="1878423183">
                  <w:marLeft w:val="0"/>
                  <w:marRight w:val="0"/>
                  <w:marTop w:val="0"/>
                  <w:marBottom w:val="0"/>
                  <w:divBdr>
                    <w:top w:val="none" w:sz="0" w:space="0" w:color="auto"/>
                    <w:left w:val="none" w:sz="0" w:space="0" w:color="auto"/>
                    <w:bottom w:val="none" w:sz="0" w:space="0" w:color="auto"/>
                    <w:right w:val="none" w:sz="0" w:space="0" w:color="auto"/>
                  </w:divBdr>
                  <w:divsChild>
                    <w:div w:id="144976115">
                      <w:marLeft w:val="0"/>
                      <w:marRight w:val="0"/>
                      <w:marTop w:val="0"/>
                      <w:marBottom w:val="0"/>
                      <w:divBdr>
                        <w:top w:val="none" w:sz="0" w:space="0" w:color="auto"/>
                        <w:left w:val="none" w:sz="0" w:space="0" w:color="auto"/>
                        <w:bottom w:val="none" w:sz="0" w:space="0" w:color="auto"/>
                        <w:right w:val="none" w:sz="0" w:space="0" w:color="auto"/>
                      </w:divBdr>
                    </w:div>
                    <w:div w:id="351154402">
                      <w:marLeft w:val="0"/>
                      <w:marRight w:val="0"/>
                      <w:marTop w:val="0"/>
                      <w:marBottom w:val="0"/>
                      <w:divBdr>
                        <w:top w:val="none" w:sz="0" w:space="0" w:color="auto"/>
                        <w:left w:val="none" w:sz="0" w:space="0" w:color="auto"/>
                        <w:bottom w:val="none" w:sz="0" w:space="0" w:color="auto"/>
                        <w:right w:val="none" w:sz="0" w:space="0" w:color="auto"/>
                      </w:divBdr>
                    </w:div>
                    <w:div w:id="992758297">
                      <w:marLeft w:val="0"/>
                      <w:marRight w:val="0"/>
                      <w:marTop w:val="0"/>
                      <w:marBottom w:val="0"/>
                      <w:divBdr>
                        <w:top w:val="none" w:sz="0" w:space="0" w:color="auto"/>
                        <w:left w:val="none" w:sz="0" w:space="0" w:color="auto"/>
                        <w:bottom w:val="none" w:sz="0" w:space="0" w:color="auto"/>
                        <w:right w:val="none" w:sz="0" w:space="0" w:color="auto"/>
                      </w:divBdr>
                    </w:div>
                    <w:div w:id="141015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960121">
          <w:marLeft w:val="0"/>
          <w:marRight w:val="0"/>
          <w:marTop w:val="0"/>
          <w:marBottom w:val="0"/>
          <w:divBdr>
            <w:top w:val="none" w:sz="0" w:space="0" w:color="auto"/>
            <w:left w:val="none" w:sz="0" w:space="0" w:color="auto"/>
            <w:bottom w:val="none" w:sz="0" w:space="0" w:color="auto"/>
            <w:right w:val="none" w:sz="0" w:space="0" w:color="auto"/>
          </w:divBdr>
        </w:div>
      </w:divsChild>
    </w:div>
    <w:div w:id="935820137">
      <w:bodyDiv w:val="1"/>
      <w:marLeft w:val="0"/>
      <w:marRight w:val="0"/>
      <w:marTop w:val="0"/>
      <w:marBottom w:val="0"/>
      <w:divBdr>
        <w:top w:val="none" w:sz="0" w:space="0" w:color="auto"/>
        <w:left w:val="none" w:sz="0" w:space="0" w:color="auto"/>
        <w:bottom w:val="none" w:sz="0" w:space="0" w:color="auto"/>
        <w:right w:val="none" w:sz="0" w:space="0" w:color="auto"/>
      </w:divBdr>
    </w:div>
    <w:div w:id="1133476554">
      <w:bodyDiv w:val="1"/>
      <w:marLeft w:val="0"/>
      <w:marRight w:val="0"/>
      <w:marTop w:val="0"/>
      <w:marBottom w:val="0"/>
      <w:divBdr>
        <w:top w:val="none" w:sz="0" w:space="0" w:color="auto"/>
        <w:left w:val="none" w:sz="0" w:space="0" w:color="auto"/>
        <w:bottom w:val="none" w:sz="0" w:space="0" w:color="auto"/>
        <w:right w:val="none" w:sz="0" w:space="0" w:color="auto"/>
      </w:divBdr>
    </w:div>
    <w:div w:id="1621374809">
      <w:bodyDiv w:val="1"/>
      <w:marLeft w:val="0"/>
      <w:marRight w:val="0"/>
      <w:marTop w:val="0"/>
      <w:marBottom w:val="0"/>
      <w:divBdr>
        <w:top w:val="none" w:sz="0" w:space="0" w:color="auto"/>
        <w:left w:val="none" w:sz="0" w:space="0" w:color="auto"/>
        <w:bottom w:val="none" w:sz="0" w:space="0" w:color="auto"/>
        <w:right w:val="none" w:sz="0" w:space="0" w:color="auto"/>
      </w:divBdr>
      <w:divsChild>
        <w:div w:id="59251813">
          <w:marLeft w:val="0"/>
          <w:marRight w:val="0"/>
          <w:marTop w:val="0"/>
          <w:marBottom w:val="0"/>
          <w:divBdr>
            <w:top w:val="none" w:sz="0" w:space="0" w:color="auto"/>
            <w:left w:val="none" w:sz="0" w:space="0" w:color="auto"/>
            <w:bottom w:val="none" w:sz="0" w:space="0" w:color="auto"/>
            <w:right w:val="none" w:sz="0" w:space="0" w:color="auto"/>
          </w:divBdr>
          <w:divsChild>
            <w:div w:id="123038387">
              <w:marLeft w:val="0"/>
              <w:marRight w:val="0"/>
              <w:marTop w:val="0"/>
              <w:marBottom w:val="0"/>
              <w:divBdr>
                <w:top w:val="none" w:sz="0" w:space="0" w:color="auto"/>
                <w:left w:val="none" w:sz="0" w:space="0" w:color="auto"/>
                <w:bottom w:val="none" w:sz="0" w:space="0" w:color="auto"/>
                <w:right w:val="none" w:sz="0" w:space="0" w:color="auto"/>
              </w:divBdr>
            </w:div>
            <w:div w:id="341979427">
              <w:marLeft w:val="0"/>
              <w:marRight w:val="0"/>
              <w:marTop w:val="0"/>
              <w:marBottom w:val="0"/>
              <w:divBdr>
                <w:top w:val="none" w:sz="0" w:space="0" w:color="auto"/>
                <w:left w:val="none" w:sz="0" w:space="0" w:color="auto"/>
                <w:bottom w:val="none" w:sz="0" w:space="0" w:color="auto"/>
                <w:right w:val="none" w:sz="0" w:space="0" w:color="auto"/>
              </w:divBdr>
            </w:div>
            <w:div w:id="808015154">
              <w:marLeft w:val="0"/>
              <w:marRight w:val="0"/>
              <w:marTop w:val="0"/>
              <w:marBottom w:val="0"/>
              <w:divBdr>
                <w:top w:val="none" w:sz="0" w:space="0" w:color="auto"/>
                <w:left w:val="none" w:sz="0" w:space="0" w:color="auto"/>
                <w:bottom w:val="none" w:sz="0" w:space="0" w:color="auto"/>
                <w:right w:val="none" w:sz="0" w:space="0" w:color="auto"/>
              </w:divBdr>
            </w:div>
            <w:div w:id="948704640">
              <w:marLeft w:val="0"/>
              <w:marRight w:val="0"/>
              <w:marTop w:val="0"/>
              <w:marBottom w:val="0"/>
              <w:divBdr>
                <w:top w:val="none" w:sz="0" w:space="0" w:color="auto"/>
                <w:left w:val="none" w:sz="0" w:space="0" w:color="auto"/>
                <w:bottom w:val="none" w:sz="0" w:space="0" w:color="auto"/>
                <w:right w:val="none" w:sz="0" w:space="0" w:color="auto"/>
              </w:divBdr>
            </w:div>
            <w:div w:id="1485245654">
              <w:marLeft w:val="0"/>
              <w:marRight w:val="0"/>
              <w:marTop w:val="0"/>
              <w:marBottom w:val="0"/>
              <w:divBdr>
                <w:top w:val="none" w:sz="0" w:space="0" w:color="auto"/>
                <w:left w:val="none" w:sz="0" w:space="0" w:color="auto"/>
                <w:bottom w:val="none" w:sz="0" w:space="0" w:color="auto"/>
                <w:right w:val="none" w:sz="0" w:space="0" w:color="auto"/>
              </w:divBdr>
            </w:div>
            <w:div w:id="1703439758">
              <w:marLeft w:val="0"/>
              <w:marRight w:val="0"/>
              <w:marTop w:val="0"/>
              <w:marBottom w:val="0"/>
              <w:divBdr>
                <w:top w:val="none" w:sz="0" w:space="0" w:color="auto"/>
                <w:left w:val="none" w:sz="0" w:space="0" w:color="auto"/>
                <w:bottom w:val="none" w:sz="0" w:space="0" w:color="auto"/>
                <w:right w:val="none" w:sz="0" w:space="0" w:color="auto"/>
              </w:divBdr>
            </w:div>
            <w:div w:id="1761488302">
              <w:marLeft w:val="0"/>
              <w:marRight w:val="0"/>
              <w:marTop w:val="0"/>
              <w:marBottom w:val="0"/>
              <w:divBdr>
                <w:top w:val="none" w:sz="0" w:space="0" w:color="auto"/>
                <w:left w:val="none" w:sz="0" w:space="0" w:color="auto"/>
                <w:bottom w:val="none" w:sz="0" w:space="0" w:color="auto"/>
                <w:right w:val="none" w:sz="0" w:space="0" w:color="auto"/>
              </w:divBdr>
            </w:div>
            <w:div w:id="1888104358">
              <w:marLeft w:val="0"/>
              <w:marRight w:val="0"/>
              <w:marTop w:val="0"/>
              <w:marBottom w:val="0"/>
              <w:divBdr>
                <w:top w:val="none" w:sz="0" w:space="0" w:color="auto"/>
                <w:left w:val="none" w:sz="0" w:space="0" w:color="auto"/>
                <w:bottom w:val="none" w:sz="0" w:space="0" w:color="auto"/>
                <w:right w:val="none" w:sz="0" w:space="0" w:color="auto"/>
              </w:divBdr>
            </w:div>
          </w:divsChild>
        </w:div>
        <w:div w:id="1411006214">
          <w:marLeft w:val="0"/>
          <w:marRight w:val="0"/>
          <w:marTop w:val="0"/>
          <w:marBottom w:val="0"/>
          <w:divBdr>
            <w:top w:val="none" w:sz="0" w:space="0" w:color="auto"/>
            <w:left w:val="none" w:sz="0" w:space="0" w:color="auto"/>
            <w:bottom w:val="none" w:sz="0" w:space="0" w:color="auto"/>
            <w:right w:val="none" w:sz="0" w:space="0" w:color="auto"/>
          </w:divBdr>
          <w:divsChild>
            <w:div w:id="317536392">
              <w:marLeft w:val="0"/>
              <w:marRight w:val="0"/>
              <w:marTop w:val="0"/>
              <w:marBottom w:val="0"/>
              <w:divBdr>
                <w:top w:val="none" w:sz="0" w:space="0" w:color="auto"/>
                <w:left w:val="none" w:sz="0" w:space="0" w:color="auto"/>
                <w:bottom w:val="none" w:sz="0" w:space="0" w:color="auto"/>
                <w:right w:val="none" w:sz="0" w:space="0" w:color="auto"/>
              </w:divBdr>
            </w:div>
            <w:div w:id="449056453">
              <w:marLeft w:val="0"/>
              <w:marRight w:val="0"/>
              <w:marTop w:val="0"/>
              <w:marBottom w:val="0"/>
              <w:divBdr>
                <w:top w:val="none" w:sz="0" w:space="0" w:color="auto"/>
                <w:left w:val="none" w:sz="0" w:space="0" w:color="auto"/>
                <w:bottom w:val="none" w:sz="0" w:space="0" w:color="auto"/>
                <w:right w:val="none" w:sz="0" w:space="0" w:color="auto"/>
              </w:divBdr>
            </w:div>
            <w:div w:id="962033343">
              <w:marLeft w:val="0"/>
              <w:marRight w:val="0"/>
              <w:marTop w:val="0"/>
              <w:marBottom w:val="0"/>
              <w:divBdr>
                <w:top w:val="none" w:sz="0" w:space="0" w:color="auto"/>
                <w:left w:val="none" w:sz="0" w:space="0" w:color="auto"/>
                <w:bottom w:val="none" w:sz="0" w:space="0" w:color="auto"/>
                <w:right w:val="none" w:sz="0" w:space="0" w:color="auto"/>
              </w:divBdr>
            </w:div>
            <w:div w:id="973371149">
              <w:marLeft w:val="0"/>
              <w:marRight w:val="0"/>
              <w:marTop w:val="0"/>
              <w:marBottom w:val="0"/>
              <w:divBdr>
                <w:top w:val="none" w:sz="0" w:space="0" w:color="auto"/>
                <w:left w:val="none" w:sz="0" w:space="0" w:color="auto"/>
                <w:bottom w:val="none" w:sz="0" w:space="0" w:color="auto"/>
                <w:right w:val="none" w:sz="0" w:space="0" w:color="auto"/>
              </w:divBdr>
            </w:div>
            <w:div w:id="1418092582">
              <w:marLeft w:val="0"/>
              <w:marRight w:val="0"/>
              <w:marTop w:val="0"/>
              <w:marBottom w:val="0"/>
              <w:divBdr>
                <w:top w:val="none" w:sz="0" w:space="0" w:color="auto"/>
                <w:left w:val="none" w:sz="0" w:space="0" w:color="auto"/>
                <w:bottom w:val="none" w:sz="0" w:space="0" w:color="auto"/>
                <w:right w:val="none" w:sz="0" w:space="0" w:color="auto"/>
              </w:divBdr>
            </w:div>
            <w:div w:id="1469780415">
              <w:marLeft w:val="0"/>
              <w:marRight w:val="0"/>
              <w:marTop w:val="0"/>
              <w:marBottom w:val="0"/>
              <w:divBdr>
                <w:top w:val="none" w:sz="0" w:space="0" w:color="auto"/>
                <w:left w:val="none" w:sz="0" w:space="0" w:color="auto"/>
                <w:bottom w:val="none" w:sz="0" w:space="0" w:color="auto"/>
                <w:right w:val="none" w:sz="0" w:space="0" w:color="auto"/>
              </w:divBdr>
            </w:div>
            <w:div w:id="162191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90414">
      <w:bodyDiv w:val="1"/>
      <w:marLeft w:val="0"/>
      <w:marRight w:val="0"/>
      <w:marTop w:val="0"/>
      <w:marBottom w:val="0"/>
      <w:divBdr>
        <w:top w:val="none" w:sz="0" w:space="0" w:color="auto"/>
        <w:left w:val="none" w:sz="0" w:space="0" w:color="auto"/>
        <w:bottom w:val="none" w:sz="0" w:space="0" w:color="auto"/>
        <w:right w:val="none" w:sz="0" w:space="0" w:color="auto"/>
      </w:divBdr>
    </w:div>
    <w:div w:id="1940866916">
      <w:bodyDiv w:val="1"/>
      <w:marLeft w:val="0"/>
      <w:marRight w:val="0"/>
      <w:marTop w:val="0"/>
      <w:marBottom w:val="0"/>
      <w:divBdr>
        <w:top w:val="none" w:sz="0" w:space="0" w:color="auto"/>
        <w:left w:val="none" w:sz="0" w:space="0" w:color="auto"/>
        <w:bottom w:val="none" w:sz="0" w:space="0" w:color="auto"/>
        <w:right w:val="none" w:sz="0" w:space="0" w:color="auto"/>
      </w:divBdr>
    </w:div>
    <w:div w:id="204744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hyperlink" Target="https://www.nice.org.uk/guidance/qs178/chapter/quality-statement-4-access-to-sexual-health-services" TargetMode="External"/><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1.png"/><Relationship Id="rId47" Type="http://schemas.openxmlformats.org/officeDocument/2006/relationships/image" Target="media/image24.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hyperlink" Target="https://www.nice.org.uk/guidance/qs178/chapter/quality-statement-2-discussing-prevention-and-testing-with-people-who-are-at-risk-of-sexually" TargetMode="External"/><Relationship Id="rId40" Type="http://schemas.openxmlformats.org/officeDocument/2006/relationships/hyperlink" Target="https://www.nice.org.uk/guidance/qs178/chapter/quality-statement-5-repeat-testing-for-sexually-transmitted-infections"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jpg"/><Relationship Id="rId36" Type="http://schemas.openxmlformats.org/officeDocument/2006/relationships/hyperlink" Target="https://www.nice.org.uk/guidance/qs178/chapter/quality-statement-1-asking-people-about-their-sexual-history" TargetMode="External"/><Relationship Id="rId49"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chart" Target="charts/chart3.xml"/><Relationship Id="rId44" Type="http://schemas.openxmlformats.org/officeDocument/2006/relationships/image" Target="media/image22.png"/><Relationship Id="rId52"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chart" Target="charts/chart1.xml"/><Relationship Id="rId27" Type="http://schemas.openxmlformats.org/officeDocument/2006/relationships/image" Target="media/image15.png"/><Relationship Id="rId30" Type="http://schemas.openxmlformats.org/officeDocument/2006/relationships/chart" Target="charts/chart2.xml"/><Relationship Id="rId35" Type="http://schemas.openxmlformats.org/officeDocument/2006/relationships/chart" Target="charts/chart4.xml"/><Relationship Id="rId43" Type="http://schemas.openxmlformats.org/officeDocument/2006/relationships/hyperlink" Target="https://assets.publishing.service.gov.uk/media/6703cbc330536cb927482d20/STI-prioritisation-framework.pdf" TargetMode="External"/><Relationship Id="rId48" Type="http://schemas.openxmlformats.org/officeDocument/2006/relationships/image" Target="media/image25.pn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kpho.org.uk" TargetMode="External"/><Relationship Id="rId17" Type="http://schemas.openxmlformats.org/officeDocument/2006/relationships/footer" Target="footer1.xml"/><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hyperlink" Target="https://www.nice.org.uk/guidance/qs178/chapter/quality-statement-3-condom-distribution-schemes" TargetMode="External"/><Relationship Id="rId46" Type="http://schemas.openxmlformats.org/officeDocument/2006/relationships/footer" Target="footer2.xml"/><Relationship Id="rId20" Type="http://schemas.openxmlformats.org/officeDocument/2006/relationships/image" Target="media/image9.png"/><Relationship Id="rId41" Type="http://schemas.openxmlformats.org/officeDocument/2006/relationships/hyperlink" Target="https://www.nice.org.uk/guidance/qs178/chapter/quality-statement-6-partner-notification"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hyperlink" Target="mailto:durka.dougall@Kent.gov.uk" TargetMode="External"/><Relationship Id="rId1" Type="http://schemas.openxmlformats.org/officeDocument/2006/relationships/image" Target="media/image5.png"/><Relationship Id="rId6" Type="http://schemas.openxmlformats.org/officeDocument/2006/relationships/hyperlink" Target="mailto:hannah.brisley@kent.gov.uk" TargetMode="External"/><Relationship Id="rId5" Type="http://schemas.openxmlformats.org/officeDocument/2006/relationships/hyperlink" Target="mailto:stephanie.hyams@Kent.gov.uk" TargetMode="External"/><Relationship Id="rId4" Type="http://schemas.openxmlformats.org/officeDocument/2006/relationships/hyperlink" Target="mailto:tami.sonubi@kent.gov.uk"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gov.uk/government/publications/womens-health-strategy-for-england/womens-health-strategy-for-england" TargetMode="External"/><Relationship Id="rId21" Type="http://schemas.openxmlformats.org/officeDocument/2006/relationships/hyperlink" Target="https://www.bbc.co.uk/news/uk-england-derbyshire-64405787" TargetMode="External"/><Relationship Id="rId42" Type="http://schemas.openxmlformats.org/officeDocument/2006/relationships/hyperlink" Target="https://www.local.gov.uk/publications/breaking-point-securing-future-sexual-health-services" TargetMode="External"/><Relationship Id="rId47" Type="http://schemas.openxmlformats.org/officeDocument/2006/relationships/hyperlink" Target="https://www.kent.gov.uk/__data/assets/pdf_file/0006/158901/Time-series-of-mid-year-population-estimates.pdf" TargetMode="External"/><Relationship Id="rId63" Type="http://schemas.openxmlformats.org/officeDocument/2006/relationships/hyperlink" Target="https://www.gov.uk/government/publications/substance-misuse-services-for-men-involved-in-chemsex" TargetMode="External"/><Relationship Id="rId68" Type="http://schemas.openxmlformats.org/officeDocument/2006/relationships/hyperlink" Target="https://www.kent.gov.uk/__data/assets/pdf_file/0005/7349/Homelessness-in-Kent.pdf" TargetMode="External"/><Relationship Id="rId84" Type="http://schemas.openxmlformats.org/officeDocument/2006/relationships/hyperlink" Target="https://fingertips.phe.org.uk/profile/child-health-profiles/data" TargetMode="External"/><Relationship Id="rId89" Type="http://schemas.openxmlformats.org/officeDocument/2006/relationships/hyperlink" Target="http://www.kent.gov.uk" TargetMode="External"/><Relationship Id="rId16" Type="http://schemas.openxmlformats.org/officeDocument/2006/relationships/hyperlink" Target="https://pubmed.ncbi.nlm.nih.gov/31677383/" TargetMode="External"/><Relationship Id="rId11" Type="http://schemas.openxmlformats.org/officeDocument/2006/relationships/hyperlink" Target="https://fingertips.phe.org.uk/static-reports/sexualhealth-reports/2024%20update/E10000016.html?area-name=Kent" TargetMode="External"/><Relationship Id="rId32" Type="http://schemas.openxmlformats.org/officeDocument/2006/relationships/hyperlink" Target="https://www.gov.uk/government/publications/pharmacy-first-contractual-framework-2023-to-2025/pharmacy-first-letter-to-contractors" TargetMode="External"/><Relationship Id="rId37" Type="http://schemas.openxmlformats.org/officeDocument/2006/relationships/hyperlink" Target="https://www.gov.uk/guidance/monkeypox-outbreak-vaccination-strategy" TargetMode="External"/><Relationship Id="rId53" Type="http://schemas.openxmlformats.org/officeDocument/2006/relationships/hyperlink" Target="https://publications.parliament.uk/pa/cm5804/cmselect/cmwomeq/463/summary.html" TargetMode="External"/><Relationship Id="rId58" Type="http://schemas.openxmlformats.org/officeDocument/2006/relationships/hyperlink" Target="https://www.ncbi.nlm.nih.gov/pmc/articles/PMC9564711/" TargetMode="External"/><Relationship Id="rId74" Type="http://schemas.openxmlformats.org/officeDocument/2006/relationships/hyperlink" Target="https://www.gov.uk/government/calls-for-evidence/womens-health-strategy-call-for-evidence/outcome/results-of-the-womens-health-lets-talk-about-it-survey" TargetMode="External"/><Relationship Id="rId79" Type="http://schemas.openxmlformats.org/officeDocument/2006/relationships/hyperlink" Target="https://www.nice.org.uk/guidance/ng60/chapter/Recommendations" TargetMode="External"/><Relationship Id="rId5" Type="http://schemas.openxmlformats.org/officeDocument/2006/relationships/hyperlink" Target="https://assets.publishing.service.gov.uk/media/5fd39d6b8fa8f54d5c52de43/Impact_of_COVID-19_Report_2020.pdf" TargetMode="External"/><Relationship Id="rId90" Type="http://schemas.openxmlformats.org/officeDocument/2006/relationships/hyperlink" Target="https://www.kent.gov.uk/about-the-council/information-and-data/Facts-and-figures-about-Kent/population-and-census" TargetMode="External"/><Relationship Id="rId22" Type="http://schemas.openxmlformats.org/officeDocument/2006/relationships/hyperlink" Target="https://www.gov.uk/government/publications/towards-zero-the-hiv-action-plan-for-england-2022-to-2025/towards-zero-an-action-plan-towards-ending-hiv-transmission-aids-and-hiv-related-deaths-in-england-2022-to-2025" TargetMode="External"/><Relationship Id="rId27" Type="http://schemas.openxmlformats.org/officeDocument/2006/relationships/hyperlink" Target="https://www.ncbi.nlm.nih.gov/pmc/articles/PMC9539651/" TargetMode="External"/><Relationship Id="rId43" Type="http://schemas.openxmlformats.org/officeDocument/2006/relationships/hyperlink" Target="https://www.kent.gov.uk/__data/assets/pdf_file/0004/8149/Whats-causing-Kents-population-growth.pdf" TargetMode="External"/><Relationship Id="rId48" Type="http://schemas.openxmlformats.org/officeDocument/2006/relationships/hyperlink" Target="https://assets.publishing.service.gov.uk/media/60955c3de90e073573036703/SRH_variation_in_outcomes_toolkit_May_2021.pdf" TargetMode="External"/><Relationship Id="rId64" Type="http://schemas.openxmlformats.org/officeDocument/2006/relationships/hyperlink" Target="https://www.gov.uk/government/collections/offender-management-statistics-quarterly" TargetMode="External"/><Relationship Id="rId69" Type="http://schemas.openxmlformats.org/officeDocument/2006/relationships/hyperlink" Target="https://www.ncbi.nlm.nih.gov/books/NBK525195/" TargetMode="External"/><Relationship Id="rId8" Type="http://schemas.openxmlformats.org/officeDocument/2006/relationships/hyperlink" Target="https://www.natsal.ac.uk/projects/natsal-covid/" TargetMode="External"/><Relationship Id="rId51" Type="http://schemas.openxmlformats.org/officeDocument/2006/relationships/hyperlink" Target="https://www.ncbi.nlm.nih.gov/books/NBK326982/" TargetMode="External"/><Relationship Id="rId72" Type="http://schemas.openxmlformats.org/officeDocument/2006/relationships/hyperlink" Target="https://www.ncbi.nlm.nih.gov/books/NBK482239/" TargetMode="External"/><Relationship Id="rId80" Type="http://schemas.openxmlformats.org/officeDocument/2006/relationships/hyperlink" Target="https://fingertips.phe.org.uk/profile/sexualhealth/data" TargetMode="External"/><Relationship Id="rId85" Type="http://schemas.openxmlformats.org/officeDocument/2006/relationships/hyperlink" Target="https://www.gov.uk/government/statistics/abortion-statistics-for-england-and-wales-2021/abortion-statistics-england-and-wales-2021" TargetMode="External"/><Relationship Id="rId93" Type="http://schemas.openxmlformats.org/officeDocument/2006/relationships/hyperlink" Target="https://www.gov.uk/government/calls-for-evidence/womens-health-strategy-call-for-evidence/outcome/results-of-the-womens-health-lets-talk-about-it-survey" TargetMode="External"/><Relationship Id="rId3" Type="http://schemas.openxmlformats.org/officeDocument/2006/relationships/hyperlink" Target="https://www.thelancet.com/journals/lanpub/issue/vol6no8/PIIS2468-2667(21)X0008-4" TargetMode="External"/><Relationship Id="rId12" Type="http://schemas.openxmlformats.org/officeDocument/2006/relationships/hyperlink" Target="https://www.bashh.org/news/1635/new_sti_data_for_england_highlights_urgent_need_for_the_next_government_to_prioritise_a_national_sexual_health_strategy" TargetMode="External"/><Relationship Id="rId17" Type="http://schemas.openxmlformats.org/officeDocument/2006/relationships/hyperlink" Target="https://academic.oup.com/smoa/article/9/4/100405/6956737" TargetMode="External"/><Relationship Id="rId25" Type="http://schemas.openxmlformats.org/officeDocument/2006/relationships/hyperlink" Target="https://www.gov.uk/government/publications/relationships-education-relationships-and-sex-education-rse-and-health-education" TargetMode="External"/><Relationship Id="rId33" Type="http://schemas.openxmlformats.org/officeDocument/2006/relationships/hyperlink" Target="https://cpe.org.uk/national-pharmacy-services/advanced-services/pharmacy-contraception-service/" TargetMode="External"/><Relationship Id="rId38" Type="http://schemas.openxmlformats.org/officeDocument/2006/relationships/hyperlink" Target="https://sti.bmj.com/content/99/2/81" TargetMode="External"/><Relationship Id="rId46" Type="http://schemas.openxmlformats.org/officeDocument/2006/relationships/hyperlink" Target="https://www.bmj.com/content/379/bmj-2022-072670" TargetMode="External"/><Relationship Id="rId59" Type="http://schemas.openxmlformats.org/officeDocument/2006/relationships/hyperlink" Target="https://www.kent-pcc.gov.uk/what-we-do/commissioning/violence-reduction-unit-vru/" TargetMode="External"/><Relationship Id="rId67" Type="http://schemas.openxmlformats.org/officeDocument/2006/relationships/hyperlink" Target="https://www.gov.uk/guidance/homelessness-code-of-guidance-for-local-authorities/chapter-12-duty-in-cases-of-threatened-homelessness-the-prevention-duty" TargetMode="External"/><Relationship Id="rId20" Type="http://schemas.openxmlformats.org/officeDocument/2006/relationships/hyperlink" Target="https://heinonline.org/HOL/LandingPage?handle=hein.journals/lwtchmn5&amp;div=25&amp;id=&amp;page=" TargetMode="External"/><Relationship Id="rId41" Type="http://schemas.openxmlformats.org/officeDocument/2006/relationships/hyperlink" Target="https://www.health.org.uk/news-and-comment/charts-and-infographics/public-health-grant-what-it-is-and-why-greater-investment-is-needed" TargetMode="External"/><Relationship Id="rId54" Type="http://schemas.openxmlformats.org/officeDocument/2006/relationships/hyperlink" Target="https://assets.publishing.service.gov.uk/government/uploads/system/uploads/attachment_data/file/835115/IoD2019_Statistical_Release.pdf" TargetMode="External"/><Relationship Id="rId62" Type="http://schemas.openxmlformats.org/officeDocument/2006/relationships/hyperlink" Target="https://www.gov.uk/government/publications/misuse-of-illicit-drugs-and-medicines-applying-all-our-health/misuse-of-illicit-drugs-and-medicines-applying-all-our-health" TargetMode="External"/><Relationship Id="rId70" Type="http://schemas.openxmlformats.org/officeDocument/2006/relationships/hyperlink" Target="https://rapecrisis.org.uk/get-informed/about-sexual-violence/impacts-of-sexual-violence-and-abuse/" TargetMode="External"/><Relationship Id="rId75" Type="http://schemas.openxmlformats.org/officeDocument/2006/relationships/hyperlink" Target="https://www.gov.uk/government/publications/womens-health-hubs-information-and-guidance/womens-health-hubs-core-specification" TargetMode="External"/><Relationship Id="rId83" Type="http://schemas.openxmlformats.org/officeDocument/2006/relationships/hyperlink" Target="https://www.gov.uk/government/statistics/reproductive-health-2023-update/reproductive-health-profiles-statistical-commentary" TargetMode="External"/><Relationship Id="rId88" Type="http://schemas.openxmlformats.org/officeDocument/2006/relationships/hyperlink" Target="https://www.kent.gov.uk/social-care-and-health/health/sexual-health" TargetMode="External"/><Relationship Id="rId91" Type="http://schemas.openxmlformats.org/officeDocument/2006/relationships/hyperlink" Target="https://assets.publishing.service.gov.uk/media/6703cbc330536cb927482d20/STI-prioritisation-framework.pdf" TargetMode="External"/><Relationship Id="rId1" Type="http://schemas.openxmlformats.org/officeDocument/2006/relationships/hyperlink" Target="https://www.who.int/health-topics/sexual-health" TargetMode="External"/><Relationship Id="rId6" Type="http://schemas.openxmlformats.org/officeDocument/2006/relationships/hyperlink" Target="https://sti.bmj.com/content/98/5/346" TargetMode="External"/><Relationship Id="rId15" Type="http://schemas.openxmlformats.org/officeDocument/2006/relationships/hyperlink" Target="https://www.adph.org.uk/wp-content/uploads/2023/11/Sexual-Health-Policy-Position-Statement-2023.pdf" TargetMode="External"/><Relationship Id="rId23" Type="http://schemas.openxmlformats.org/officeDocument/2006/relationships/hyperlink" Target="https://www.adph.org.uk/wp-content/uploads/2023/11/Sexual-Health-Policy-Position-Statement-2023.pdf" TargetMode="External"/><Relationship Id="rId28" Type="http://schemas.openxmlformats.org/officeDocument/2006/relationships/hyperlink" Target="https://www.gov.uk/government/publications/temporary-approval-of-home-use-for-both-stages-of-early-medical-abortion--2" TargetMode="External"/><Relationship Id="rId36" Type="http://schemas.openxmlformats.org/officeDocument/2006/relationships/hyperlink" Target="https://www.gov.uk/guidance/monkeypox" TargetMode="External"/><Relationship Id="rId49" Type="http://schemas.openxmlformats.org/officeDocument/2006/relationships/hyperlink" Target="https://www.kingsfund.org.uk/insight-and-analysis/long-reads/what-are-health-inequalities" TargetMode="External"/><Relationship Id="rId57" Type="http://schemas.openxmlformats.org/officeDocument/2006/relationships/hyperlink" Target="https://assets.publishing.service.gov.uk/media/60955c3de90e073573036703/SRH_variation_in_outcomes_toolkit_May_2021.pdf" TargetMode="External"/><Relationship Id="rId10" Type="http://schemas.openxmlformats.org/officeDocument/2006/relationships/hyperlink" Target="https://srh.bmj.com/content/49/1/12" TargetMode="External"/><Relationship Id="rId31" Type="http://schemas.openxmlformats.org/officeDocument/2006/relationships/hyperlink" Target="https://www.england.nhs.uk/long-read/improving-abortion-care-letter/" TargetMode="External"/><Relationship Id="rId44" Type="http://schemas.openxmlformats.org/officeDocument/2006/relationships/hyperlink" Target="https://www.kent.gov.uk/__data/assets/pdf_file/0003/13827/Births-and-deaths-bulletin.pdf" TargetMode="External"/><Relationship Id="rId52" Type="http://schemas.openxmlformats.org/officeDocument/2006/relationships/hyperlink" Target="https://www.ncbi.nlm.nih.gov/books/NBK326982/" TargetMode="External"/><Relationship Id="rId60" Type="http://schemas.openxmlformats.org/officeDocument/2006/relationships/hyperlink" Target="https://www.ons.gov.uk/census" TargetMode="External"/><Relationship Id="rId65" Type="http://schemas.openxmlformats.org/officeDocument/2006/relationships/hyperlink" Target="http://www.nat.org.uk/Media%20library/Files/Policy/2011/NATBlood%20Borne%20VirusesPrisonsMay2011.pdf" TargetMode="External"/><Relationship Id="rId73" Type="http://schemas.openxmlformats.org/officeDocument/2006/relationships/hyperlink" Target="https://www.gov.uk/government/publications/womens-health-strategy-for-england/womens-health-strategy-for-england" TargetMode="External"/><Relationship Id="rId78" Type="http://schemas.openxmlformats.org/officeDocument/2006/relationships/hyperlink" Target="https://www.gov.uk/government/publications/towards-zero-the-hiv-action-plan-for-england-2022-to-2025/towards-zero-an-action-plan-towards-ending-hiv-transmission-aids-and-hiv-related-deaths-in-england-2022-to-2025" TargetMode="External"/><Relationship Id="rId81" Type="http://schemas.openxmlformats.org/officeDocument/2006/relationships/hyperlink" Target="https://fingertips.phe.org.uk/profile/sexualhealth/data" TargetMode="External"/><Relationship Id="rId86" Type="http://schemas.openxmlformats.org/officeDocument/2006/relationships/hyperlink" Target="https://www.bpas.org/about-bpas/press-office/press-releases/rising-cost-of-living-drives-record-abortion-rate/" TargetMode="External"/><Relationship Id="rId4" Type="http://schemas.openxmlformats.org/officeDocument/2006/relationships/hyperlink" Target="https://www.fsrh.org/news/fsrh-covid-19-members-survey-interim-results-07-may-2020/" TargetMode="External"/><Relationship Id="rId9" Type="http://schemas.openxmlformats.org/officeDocument/2006/relationships/hyperlink" Target="https://srh.bmj.com/content/49/4/260.long" TargetMode="External"/><Relationship Id="rId13" Type="http://schemas.openxmlformats.org/officeDocument/2006/relationships/hyperlink" Target="https://www.sciencedirect.com/science/article/pii/S0955395919300854" TargetMode="External"/><Relationship Id="rId18" Type="http://schemas.openxmlformats.org/officeDocument/2006/relationships/hyperlink" Target="https://www.local.gov.uk/publications/breaking-point-securing-future-sexual-health-services" TargetMode="External"/><Relationship Id="rId39" Type="http://schemas.openxmlformats.org/officeDocument/2006/relationships/hyperlink" Target="https://www.local.gov.uk/about/news/councils-warn-pressure-sexual-health-services-due-rising-number-monkeypox-cases" TargetMode="External"/><Relationship Id="rId34" Type="http://schemas.openxmlformats.org/officeDocument/2006/relationships/hyperlink" Target="https://www.england.nhs.uk/primary-care/pharmacy/pharmacy-services/nhs-pharmacy-contraception-service/" TargetMode="External"/><Relationship Id="rId50" Type="http://schemas.openxmlformats.org/officeDocument/2006/relationships/hyperlink" Target="https://assets.publishing.service.gov.uk/media/60955c3de90e073573036703/SRH_variation_in_outcomes_toolkit_May_2021.pdf" TargetMode="External"/><Relationship Id="rId55" Type="http://schemas.openxmlformats.org/officeDocument/2006/relationships/hyperlink" Target="https://www.ethnicity-facts-figures.service.gov.uk/health/physical-health/hiv-infection-with-late-diagnosis/latest/" TargetMode="External"/><Relationship Id="rId76" Type="http://schemas.openxmlformats.org/officeDocument/2006/relationships/hyperlink" Target="https://publications.parliament.uk/pa/cm5804/cmselect/cmwomeq/463/summary.html" TargetMode="External"/><Relationship Id="rId7" Type="http://schemas.openxmlformats.org/officeDocument/2006/relationships/hyperlink" Target="https://sti.bmj.com/content/99/4/261" TargetMode="External"/><Relationship Id="rId71" Type="http://schemas.openxmlformats.org/officeDocument/2006/relationships/hyperlink" Target="https://www.kcl.ac.uk/giwl/assets/measuring-gender-equality-in-the-uk-data-on-violence-against-women-and-girls.pdf" TargetMode="External"/><Relationship Id="rId92" Type="http://schemas.openxmlformats.org/officeDocument/2006/relationships/hyperlink" Target="https://www.natsal.ac.uk/projects/natsal-covid/" TargetMode="External"/><Relationship Id="rId2" Type="http://schemas.openxmlformats.org/officeDocument/2006/relationships/hyperlink" Target="https://www.who.int/health-topics/sexual-health" TargetMode="External"/><Relationship Id="rId29" Type="http://schemas.openxmlformats.org/officeDocument/2006/relationships/hyperlink" Target="https://www.gov.uk/government/news/at-home-early-medical-abortions-made-permanent-in-england-and-wales" TargetMode="External"/><Relationship Id="rId24" Type="http://schemas.openxmlformats.org/officeDocument/2006/relationships/hyperlink" Target="https://www.gov.uk/government/publications/womens-health-strategy-for-england/womens-health-strategy-for-england" TargetMode="External"/><Relationship Id="rId40" Type="http://schemas.openxmlformats.org/officeDocument/2006/relationships/hyperlink" Target="https://www.gov.uk/government/news/who-declares-mpox-outbreak-a-public-health-emergency-of-international-concern" TargetMode="External"/><Relationship Id="rId45" Type="http://schemas.openxmlformats.org/officeDocument/2006/relationships/hyperlink" Target="https://www.ons.gov.uk/peoplepopulationandcommunity/birthsdeathsandmarriages/livebirths/bulletins/birthsummarytablesenglandandwales/2022refreshedpopulations" TargetMode="External"/><Relationship Id="rId66" Type="http://schemas.openxmlformats.org/officeDocument/2006/relationships/hyperlink" Target="https://www.gov.uk/government/publications/health-needs-assessment-prison-examples" TargetMode="External"/><Relationship Id="rId87" Type="http://schemas.openxmlformats.org/officeDocument/2006/relationships/hyperlink" Target="https://www.ncbi.nlm.nih.gov/books/NBK525195/" TargetMode="External"/><Relationship Id="rId61" Type="http://schemas.openxmlformats.org/officeDocument/2006/relationships/hyperlink" Target="https://www.kpho.org.uk/__data/assets/pdf_file/0019/43804/Gypsy-Roma-and-Traveller-IR-August-FINAL.pdf" TargetMode="External"/><Relationship Id="rId82" Type="http://schemas.openxmlformats.org/officeDocument/2006/relationships/hyperlink" Target="https://www.gov.uk/guidance/hiv-testing" TargetMode="External"/><Relationship Id="rId19" Type="http://schemas.openxmlformats.org/officeDocument/2006/relationships/hyperlink" Target="https://www.gov.uk/government/publications/womens-health-strategy-for-england/womens-health-strategy-for-england" TargetMode="External"/><Relationship Id="rId14" Type="http://schemas.openxmlformats.org/officeDocument/2006/relationships/hyperlink" Target="https://www.gov.uk/government/news/people-urged-to-practise-safer-sex-after-rise-in-stis-in-england" TargetMode="External"/><Relationship Id="rId30" Type="http://schemas.openxmlformats.org/officeDocument/2006/relationships/hyperlink" Target="https://childprotection.rcpch.ac.uk/resources/safeguarding-guidance-for-children-and-young-people-under-18-accessing-early-medical-abortion-services/" TargetMode="External"/><Relationship Id="rId35" Type="http://schemas.openxmlformats.org/officeDocument/2006/relationships/hyperlink" Target="https://www.fsrh.org/documents/fsrh-ceu-statement-mirena-8-years-contraception-jan-2024/" TargetMode="External"/><Relationship Id="rId56" Type="http://schemas.openxmlformats.org/officeDocument/2006/relationships/hyperlink" Target="https://www.ons.gov.uk/census" TargetMode="External"/><Relationship Id="rId77" Type="http://schemas.openxmlformats.org/officeDocument/2006/relationships/hyperlink" Target="https://www.gov.uk/government/statistics/sexually-transmitted-infections-stis-annual-data-tables/sexually-transmitted-infections-and-screening-for-chlamydia-in-england-2023-repor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1" i="0" u="none" strike="noStrike" kern="1200" spc="0" baseline="0">
                <a:solidFill>
                  <a:sysClr val="windowText" lastClr="000000"/>
                </a:solidFill>
                <a:effectLst/>
                <a:latin typeface="Verdana" panose="020B0604030504040204" pitchFamily="34" charset="0"/>
                <a:ea typeface="Verdana" panose="020B0604030504040204" pitchFamily="34" charset="0"/>
              </a:rPr>
              <a:t>All new STI diagnoses in England, by deprivation decile, 2023</a:t>
            </a:r>
            <a:br>
              <a:rPr lang="en-GB" sz="1200" b="1" i="0" u="none" strike="noStrike" kern="1200" spc="0" baseline="0">
                <a:solidFill>
                  <a:sysClr val="windowText" lastClr="000000"/>
                </a:solidFill>
                <a:effectLst/>
                <a:latin typeface="Verdana" panose="020B0604030504040204" pitchFamily="34" charset="0"/>
                <a:ea typeface="Verdana" panose="020B0604030504040204" pitchFamily="34" charset="0"/>
              </a:rPr>
            </a:br>
            <a:r>
              <a:rPr lang="en-GB" sz="1200" b="1" i="0" u="none" strike="noStrike" kern="1200" spc="0" baseline="0">
                <a:solidFill>
                  <a:sysClr val="windowText" lastClr="000000"/>
                </a:solidFill>
                <a:effectLst/>
                <a:latin typeface="Verdana" panose="020B0604030504040204" pitchFamily="34" charset="0"/>
                <a:ea typeface="Verdana" panose="020B0604030504040204" pitchFamily="34" charset="0"/>
              </a:rPr>
              <a:t>Rate per 100,000</a:t>
            </a:r>
            <a:endParaRPr lang="en-GB" sz="1200" b="0" i="0" u="none" strike="noStrike" kern="1200" spc="0" baseline="0">
              <a:solidFill>
                <a:sysClr val="windowText" lastClr="000000"/>
              </a:solidFill>
              <a:latin typeface="Verdana" panose="020B0604030504040204" pitchFamily="34" charset="0"/>
              <a:ea typeface="Verdana" panose="020B0604030504040204" pitchFamily="34" charset="0"/>
            </a:endParaRPr>
          </a:p>
        </c:rich>
      </c:tx>
      <c:layout>
        <c:manualLayout>
          <c:xMode val="edge"/>
          <c:yMode val="edge"/>
          <c:x val="0.1733153661586293"/>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692406474941704"/>
          <c:y val="0.16593796159527327"/>
          <c:w val="0.81157378932783619"/>
          <c:h val="0.64636922969562327"/>
        </c:manualLayout>
      </c:layout>
      <c:barChart>
        <c:barDir val="col"/>
        <c:grouping val="clustered"/>
        <c:varyColors val="0"/>
        <c:ser>
          <c:idx val="0"/>
          <c:order val="0"/>
          <c:tx>
            <c:strRef>
              <c:f>Sheet1!$C$3</c:f>
              <c:strCache>
                <c:ptCount val="1"/>
                <c:pt idx="0">
                  <c:v>Deprivation Decile</c:v>
                </c:pt>
              </c:strCache>
            </c:strRef>
          </c:tx>
          <c:spPr>
            <a:solidFill>
              <a:srgbClr val="2D7C82"/>
            </a:solidFill>
            <a:ln>
              <a:solidFill>
                <a:srgbClr val="2D7C82"/>
              </a:solidFill>
            </a:ln>
            <a:effectLst/>
          </c:spPr>
          <c:invertIfNegative val="0"/>
          <c:cat>
            <c:strRef>
              <c:f>Sheet1!$B$4:$B$13</c:f>
              <c:strCache>
                <c:ptCount val="10"/>
                <c:pt idx="0">
                  <c:v>Most deprived decile (IMD 1)</c:v>
                </c:pt>
                <c:pt idx="1">
                  <c:v>IMD 2</c:v>
                </c:pt>
                <c:pt idx="2">
                  <c:v>IMD 3</c:v>
                </c:pt>
                <c:pt idx="3">
                  <c:v>IMD 4</c:v>
                </c:pt>
                <c:pt idx="4">
                  <c:v>IMD 5</c:v>
                </c:pt>
                <c:pt idx="5">
                  <c:v>IMD 6</c:v>
                </c:pt>
                <c:pt idx="6">
                  <c:v>IMD 7</c:v>
                </c:pt>
                <c:pt idx="7">
                  <c:v>IMD 8</c:v>
                </c:pt>
                <c:pt idx="8">
                  <c:v>IMD 9</c:v>
                </c:pt>
                <c:pt idx="9">
                  <c:v>Least deprived decile (IMD 10)</c:v>
                </c:pt>
              </c:strCache>
            </c:strRef>
          </c:cat>
          <c:val>
            <c:numRef>
              <c:f>Sheet1!$C$4:$C$13</c:f>
              <c:numCache>
                <c:formatCode>General</c:formatCode>
                <c:ptCount val="10"/>
                <c:pt idx="0">
                  <c:v>865</c:v>
                </c:pt>
                <c:pt idx="1">
                  <c:v>778</c:v>
                </c:pt>
                <c:pt idx="2">
                  <c:v>989</c:v>
                </c:pt>
                <c:pt idx="3" formatCode="#,##0">
                  <c:v>1009</c:v>
                </c:pt>
                <c:pt idx="4">
                  <c:v>850</c:v>
                </c:pt>
                <c:pt idx="5">
                  <c:v>814</c:v>
                </c:pt>
                <c:pt idx="6">
                  <c:v>491</c:v>
                </c:pt>
                <c:pt idx="7">
                  <c:v>527</c:v>
                </c:pt>
                <c:pt idx="8">
                  <c:v>469</c:v>
                </c:pt>
                <c:pt idx="9">
                  <c:v>471</c:v>
                </c:pt>
              </c:numCache>
            </c:numRef>
          </c:val>
          <c:extLst>
            <c:ext xmlns:c16="http://schemas.microsoft.com/office/drawing/2014/chart" uri="{C3380CC4-5D6E-409C-BE32-E72D297353CC}">
              <c16:uniqueId val="{00000000-90BD-4CCA-92F7-7DFCA9F60855}"/>
            </c:ext>
          </c:extLst>
        </c:ser>
        <c:dLbls>
          <c:showLegendKey val="0"/>
          <c:showVal val="0"/>
          <c:showCatName val="0"/>
          <c:showSerName val="0"/>
          <c:showPercent val="0"/>
          <c:showBubbleSize val="0"/>
        </c:dLbls>
        <c:gapWidth val="182"/>
        <c:axId val="517618728"/>
        <c:axId val="517621608"/>
      </c:barChart>
      <c:lineChart>
        <c:grouping val="standard"/>
        <c:varyColors val="0"/>
        <c:ser>
          <c:idx val="1"/>
          <c:order val="1"/>
          <c:tx>
            <c:strRef>
              <c:f>Sheet1!$D$3</c:f>
              <c:strCache>
                <c:ptCount val="1"/>
                <c:pt idx="0">
                  <c:v>England</c:v>
                </c:pt>
              </c:strCache>
            </c:strRef>
          </c:tx>
          <c:spPr>
            <a:ln w="38100" cap="rnd">
              <a:solidFill>
                <a:schemeClr val="tx1"/>
              </a:solidFill>
              <a:round/>
            </a:ln>
            <a:effectLst/>
          </c:spPr>
          <c:marker>
            <c:symbol val="none"/>
          </c:marker>
          <c:cat>
            <c:strRef>
              <c:f>Sheet1!$B$4:$B$13</c:f>
              <c:strCache>
                <c:ptCount val="10"/>
                <c:pt idx="0">
                  <c:v>Most deprived decile (IMD 1)</c:v>
                </c:pt>
                <c:pt idx="1">
                  <c:v>IMD 2</c:v>
                </c:pt>
                <c:pt idx="2">
                  <c:v>IMD 3</c:v>
                </c:pt>
                <c:pt idx="3">
                  <c:v>IMD 4</c:v>
                </c:pt>
                <c:pt idx="4">
                  <c:v>IMD 5</c:v>
                </c:pt>
                <c:pt idx="5">
                  <c:v>IMD 6</c:v>
                </c:pt>
                <c:pt idx="6">
                  <c:v>IMD 7</c:v>
                </c:pt>
                <c:pt idx="7">
                  <c:v>IMD 8</c:v>
                </c:pt>
                <c:pt idx="8">
                  <c:v>IMD 9</c:v>
                </c:pt>
                <c:pt idx="9">
                  <c:v>Least deprived decile (IMD 10)</c:v>
                </c:pt>
              </c:strCache>
            </c:strRef>
          </c:cat>
          <c:val>
            <c:numRef>
              <c:f>Sheet1!$D$4:$D$13</c:f>
              <c:numCache>
                <c:formatCode>General</c:formatCode>
                <c:ptCount val="10"/>
                <c:pt idx="0">
                  <c:v>704</c:v>
                </c:pt>
                <c:pt idx="1">
                  <c:v>704</c:v>
                </c:pt>
                <c:pt idx="2">
                  <c:v>704</c:v>
                </c:pt>
                <c:pt idx="3">
                  <c:v>704</c:v>
                </c:pt>
                <c:pt idx="4">
                  <c:v>704</c:v>
                </c:pt>
                <c:pt idx="5">
                  <c:v>704</c:v>
                </c:pt>
                <c:pt idx="6">
                  <c:v>704</c:v>
                </c:pt>
                <c:pt idx="7">
                  <c:v>704</c:v>
                </c:pt>
                <c:pt idx="8">
                  <c:v>704</c:v>
                </c:pt>
                <c:pt idx="9">
                  <c:v>704</c:v>
                </c:pt>
              </c:numCache>
            </c:numRef>
          </c:val>
          <c:smooth val="0"/>
          <c:extLst>
            <c:ext xmlns:c16="http://schemas.microsoft.com/office/drawing/2014/chart" uri="{C3380CC4-5D6E-409C-BE32-E72D297353CC}">
              <c16:uniqueId val="{00000001-90BD-4CCA-92F7-7DFCA9F60855}"/>
            </c:ext>
          </c:extLst>
        </c:ser>
        <c:dLbls>
          <c:showLegendKey val="0"/>
          <c:showVal val="0"/>
          <c:showCatName val="0"/>
          <c:showSerName val="0"/>
          <c:showPercent val="0"/>
          <c:showBubbleSize val="0"/>
        </c:dLbls>
        <c:marker val="1"/>
        <c:smooth val="0"/>
        <c:axId val="517618728"/>
        <c:axId val="517621608"/>
      </c:lineChart>
      <c:catAx>
        <c:axId val="517618728"/>
        <c:scaling>
          <c:orientation val="minMax"/>
        </c:scaling>
        <c:delete val="0"/>
        <c:axPos val="b"/>
        <c:title>
          <c:tx>
            <c:rich>
              <a:bodyPr rot="0" spcFirstLastPara="1" vertOverflow="ellipsis" vert="horz" wrap="square" anchor="ctr" anchorCtr="1"/>
              <a:lstStyle/>
              <a:p>
                <a:pPr>
                  <a:defRPr sz="105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GB" sz="1050" b="1">
                    <a:solidFill>
                      <a:sysClr val="windowText" lastClr="000000"/>
                    </a:solidFill>
                    <a:latin typeface="Verdana" panose="020B0604030504040204" pitchFamily="34" charset="0"/>
                    <a:ea typeface="Verdana" panose="020B0604030504040204" pitchFamily="34" charset="0"/>
                  </a:rPr>
                  <a:t>Deprivation Decile</a:t>
                </a:r>
              </a:p>
            </c:rich>
          </c:tx>
          <c:layout>
            <c:manualLayout>
              <c:xMode val="edge"/>
              <c:yMode val="edge"/>
              <c:x val="0.41570460613024229"/>
              <c:y val="0.90752253457239562"/>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out"/>
        <c:minorTickMark val="none"/>
        <c:tickLblPos val="nextTo"/>
        <c:spPr>
          <a:noFill/>
          <a:ln w="9525" cap="flat" cmpd="sng" algn="ctr">
            <a:solidFill>
              <a:srgbClr val="898989"/>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517621608"/>
        <c:crosses val="autoZero"/>
        <c:auto val="0"/>
        <c:lblAlgn val="ctr"/>
        <c:lblOffset val="100"/>
        <c:noMultiLvlLbl val="0"/>
      </c:catAx>
      <c:valAx>
        <c:axId val="517621608"/>
        <c:scaling>
          <c:orientation val="minMax"/>
        </c:scaling>
        <c:delete val="0"/>
        <c:axPos val="l"/>
        <c:majorGridlines>
          <c:spPr>
            <a:ln w="9525" cap="flat" cmpd="sng" algn="ctr">
              <a:solidFill>
                <a:srgbClr val="898989"/>
              </a:solidFill>
              <a:prstDash val="dash"/>
              <a:round/>
            </a:ln>
            <a:effectLst/>
          </c:spPr>
        </c:majorGridlines>
        <c:title>
          <c:tx>
            <c:rich>
              <a:bodyPr rot="-5400000" spcFirstLastPara="1" vertOverflow="ellipsis" vert="horz" wrap="square" anchor="ctr" anchorCtr="1"/>
              <a:lstStyle/>
              <a:p>
                <a:pPr>
                  <a:defRPr sz="105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GB" sz="1050" b="1">
                    <a:solidFill>
                      <a:sysClr val="windowText" lastClr="000000"/>
                    </a:solidFill>
                    <a:latin typeface="Verdana" panose="020B0604030504040204" pitchFamily="34" charset="0"/>
                    <a:ea typeface="Verdana" panose="020B0604030504040204" pitchFamily="34" charset="0"/>
                  </a:rPr>
                  <a:t>STI</a:t>
                </a:r>
                <a:r>
                  <a:rPr lang="en-GB" sz="1050" b="1" baseline="0">
                    <a:solidFill>
                      <a:sysClr val="windowText" lastClr="000000"/>
                    </a:solidFill>
                    <a:latin typeface="Verdana" panose="020B0604030504040204" pitchFamily="34" charset="0"/>
                    <a:ea typeface="Verdana" panose="020B0604030504040204" pitchFamily="34" charset="0"/>
                  </a:rPr>
                  <a:t> diagnosis rate</a:t>
                </a:r>
                <a:endParaRPr lang="en-GB" sz="1050" b="1">
                  <a:solidFill>
                    <a:sysClr val="windowText" lastClr="000000"/>
                  </a:solidFill>
                  <a:latin typeface="Verdana" panose="020B0604030504040204" pitchFamily="34" charset="0"/>
                  <a:ea typeface="Verdana" panose="020B0604030504040204" pitchFamily="34" charset="0"/>
                </a:endParaRPr>
              </a:p>
            </c:rich>
          </c:tx>
          <c:layout>
            <c:manualLayout>
              <c:xMode val="edge"/>
              <c:yMode val="edge"/>
              <c:x val="1.2875536480686695E-2"/>
              <c:y val="0.29258632921992578"/>
            </c:manualLayout>
          </c:layout>
          <c:overlay val="0"/>
          <c:spPr>
            <a:noFill/>
            <a:ln>
              <a:noFill/>
            </a:ln>
            <a:effectLst/>
          </c:spPr>
          <c:txPr>
            <a:bodyPr rot="-5400000" spcFirstLastPara="1" vertOverflow="ellipsis" vert="horz" wrap="square" anchor="ctr" anchorCtr="1"/>
            <a:lstStyle/>
            <a:p>
              <a:pPr>
                <a:defRPr sz="105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out"/>
        <c:minorTickMark val="none"/>
        <c:tickLblPos val="nextTo"/>
        <c:spPr>
          <a:noFill/>
          <a:ln>
            <a:solidFill>
              <a:srgbClr val="898989"/>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517618728"/>
        <c:crosses val="autoZero"/>
        <c:crossBetween val="between"/>
      </c:valAx>
      <c:spPr>
        <a:noFill/>
        <a:ln>
          <a:noFill/>
        </a:ln>
        <a:effectLst/>
      </c:spPr>
    </c:plotArea>
    <c:legend>
      <c:legendPos val="b"/>
      <c:legendEntry>
        <c:idx val="0"/>
        <c:delete val="1"/>
      </c:legendEntry>
      <c:layout>
        <c:manualLayout>
          <c:xMode val="edge"/>
          <c:yMode val="edge"/>
          <c:x val="0.81939542428441081"/>
          <c:y val="0.10047499970923132"/>
          <c:w val="0.15270755110829465"/>
          <c:h val="7.312667246032526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j-lt"/>
                <a:ea typeface="+mn-ea"/>
                <a:cs typeface="+mn-cs"/>
              </a:defRPr>
            </a:pPr>
            <a:r>
              <a:rPr lang="en-US" sz="1200" b="1">
                <a:latin typeface="Verdana" panose="020B0604030504040204" pitchFamily="34" charset="0"/>
                <a:ea typeface="Verdana" panose="020B0604030504040204" pitchFamily="34" charset="0"/>
              </a:rPr>
              <a:t>Under 18 conception</a:t>
            </a:r>
            <a:r>
              <a:rPr lang="en-US" sz="1200" b="1" baseline="0">
                <a:latin typeface="Verdana" panose="020B0604030504040204" pitchFamily="34" charset="0"/>
                <a:ea typeface="Verdana" panose="020B0604030504040204" pitchFamily="34" charset="0"/>
              </a:rPr>
              <a:t> rate per 1000</a:t>
            </a:r>
            <a:endParaRPr lang="en-US" sz="1200" b="1">
              <a:latin typeface="Verdana" panose="020B0604030504040204" pitchFamily="34" charset="0"/>
              <a:ea typeface="Verdana" panose="020B060403050404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lineChart>
        <c:grouping val="standard"/>
        <c:varyColors val="0"/>
        <c:ser>
          <c:idx val="0"/>
          <c:order val="0"/>
          <c:tx>
            <c:strRef>
              <c:f>'Trends (1)'!$G$77</c:f>
              <c:strCache>
                <c:ptCount val="1"/>
                <c:pt idx="0">
                  <c:v>England</c:v>
                </c:pt>
              </c:strCache>
            </c:strRef>
          </c:tx>
          <c:spPr>
            <a:ln w="28575" cap="rnd">
              <a:solidFill>
                <a:schemeClr val="accent5">
                  <a:lumMod val="75000"/>
                </a:schemeClr>
              </a:solidFill>
              <a:round/>
            </a:ln>
            <a:effectLst/>
          </c:spPr>
          <c:marker>
            <c:symbol val="circle"/>
            <c:size val="5"/>
            <c:spPr>
              <a:solidFill>
                <a:schemeClr val="accent6"/>
              </a:solidFill>
              <a:ln w="9525">
                <a:solidFill>
                  <a:schemeClr val="accent5">
                    <a:lumMod val="75000"/>
                  </a:schemeClr>
                </a:solidFill>
              </a:ln>
              <a:effectLst/>
            </c:spPr>
          </c:marker>
          <c:dPt>
            <c:idx val="0"/>
            <c:marker>
              <c:symbol val="circle"/>
              <c:size val="5"/>
              <c:spPr>
                <a:solidFill>
                  <a:schemeClr val="accent5">
                    <a:lumMod val="75000"/>
                  </a:schemeClr>
                </a:solidFill>
                <a:ln w="9525">
                  <a:solidFill>
                    <a:schemeClr val="accent5">
                      <a:lumMod val="75000"/>
                    </a:schemeClr>
                  </a:solidFill>
                </a:ln>
                <a:effectLst/>
              </c:spPr>
            </c:marker>
            <c:bubble3D val="0"/>
            <c:extLst>
              <c:ext xmlns:c16="http://schemas.microsoft.com/office/drawing/2014/chart" uri="{C3380CC4-5D6E-409C-BE32-E72D297353CC}">
                <c16:uniqueId val="{00000006-BF2D-4647-8ED7-5F2C5007DA5A}"/>
              </c:ext>
            </c:extLst>
          </c:dPt>
          <c:dPt>
            <c:idx val="1"/>
            <c:marker>
              <c:symbol val="circle"/>
              <c:size val="5"/>
              <c:spPr>
                <a:solidFill>
                  <a:schemeClr val="accent5">
                    <a:lumMod val="75000"/>
                  </a:schemeClr>
                </a:solidFill>
                <a:ln w="9525">
                  <a:solidFill>
                    <a:schemeClr val="accent5">
                      <a:lumMod val="75000"/>
                    </a:schemeClr>
                  </a:solidFill>
                </a:ln>
                <a:effectLst/>
              </c:spPr>
            </c:marker>
            <c:bubble3D val="0"/>
            <c:extLst>
              <c:ext xmlns:c16="http://schemas.microsoft.com/office/drawing/2014/chart" uri="{C3380CC4-5D6E-409C-BE32-E72D297353CC}">
                <c16:uniqueId val="{00000003-BF2D-4647-8ED7-5F2C5007DA5A}"/>
              </c:ext>
            </c:extLst>
          </c:dPt>
          <c:dPt>
            <c:idx val="2"/>
            <c:marker>
              <c:symbol val="circle"/>
              <c:size val="5"/>
              <c:spPr>
                <a:solidFill>
                  <a:schemeClr val="accent5">
                    <a:lumMod val="75000"/>
                  </a:schemeClr>
                </a:solidFill>
                <a:ln w="9525">
                  <a:solidFill>
                    <a:schemeClr val="accent5">
                      <a:lumMod val="75000"/>
                    </a:schemeClr>
                  </a:solidFill>
                </a:ln>
                <a:effectLst/>
              </c:spPr>
            </c:marker>
            <c:bubble3D val="0"/>
            <c:extLst>
              <c:ext xmlns:c16="http://schemas.microsoft.com/office/drawing/2014/chart" uri="{C3380CC4-5D6E-409C-BE32-E72D297353CC}">
                <c16:uniqueId val="{00000004-BF2D-4647-8ED7-5F2C5007DA5A}"/>
              </c:ext>
            </c:extLst>
          </c:dPt>
          <c:dPt>
            <c:idx val="3"/>
            <c:marker>
              <c:symbol val="circle"/>
              <c:size val="5"/>
              <c:spPr>
                <a:solidFill>
                  <a:schemeClr val="accent5">
                    <a:lumMod val="75000"/>
                  </a:schemeClr>
                </a:solidFill>
                <a:ln w="9525">
                  <a:solidFill>
                    <a:schemeClr val="accent5">
                      <a:lumMod val="75000"/>
                    </a:schemeClr>
                  </a:solidFill>
                </a:ln>
                <a:effectLst/>
              </c:spPr>
            </c:marker>
            <c:bubble3D val="0"/>
            <c:extLst>
              <c:ext xmlns:c16="http://schemas.microsoft.com/office/drawing/2014/chart" uri="{C3380CC4-5D6E-409C-BE32-E72D297353CC}">
                <c16:uniqueId val="{00000002-BF2D-4647-8ED7-5F2C5007DA5A}"/>
              </c:ext>
            </c:extLst>
          </c:dPt>
          <c:dPt>
            <c:idx val="4"/>
            <c:marker>
              <c:symbol val="circle"/>
              <c:size val="5"/>
              <c:spPr>
                <a:solidFill>
                  <a:schemeClr val="accent5">
                    <a:lumMod val="75000"/>
                  </a:schemeClr>
                </a:solidFill>
                <a:ln w="9525">
                  <a:solidFill>
                    <a:schemeClr val="accent5">
                      <a:lumMod val="75000"/>
                    </a:schemeClr>
                  </a:solidFill>
                </a:ln>
                <a:effectLst/>
              </c:spPr>
            </c:marker>
            <c:bubble3D val="0"/>
            <c:extLst>
              <c:ext xmlns:c16="http://schemas.microsoft.com/office/drawing/2014/chart" uri="{C3380CC4-5D6E-409C-BE32-E72D297353CC}">
                <c16:uniqueId val="{00000005-BF2D-4647-8ED7-5F2C5007DA5A}"/>
              </c:ext>
            </c:extLst>
          </c:dPt>
          <c:cat>
            <c:numRef>
              <c:f>'Trends (1)'!$H$76:$L$76</c:f>
              <c:numCache>
                <c:formatCode>General</c:formatCode>
                <c:ptCount val="5"/>
                <c:pt idx="0">
                  <c:v>2017</c:v>
                </c:pt>
                <c:pt idx="1">
                  <c:v>2018</c:v>
                </c:pt>
                <c:pt idx="2">
                  <c:v>2019</c:v>
                </c:pt>
                <c:pt idx="3">
                  <c:v>2020</c:v>
                </c:pt>
                <c:pt idx="4">
                  <c:v>2021</c:v>
                </c:pt>
              </c:numCache>
            </c:numRef>
          </c:cat>
          <c:val>
            <c:numRef>
              <c:f>'Trends (1)'!$H$77:$L$77</c:f>
              <c:numCache>
                <c:formatCode>General</c:formatCode>
                <c:ptCount val="5"/>
                <c:pt idx="0">
                  <c:v>17.810600000000001</c:v>
                </c:pt>
                <c:pt idx="1">
                  <c:v>16.6129</c:v>
                </c:pt>
                <c:pt idx="2">
                  <c:v>15.486499999999999</c:v>
                </c:pt>
                <c:pt idx="3">
                  <c:v>12.823399999999999</c:v>
                </c:pt>
                <c:pt idx="4">
                  <c:v>13.076700000000001</c:v>
                </c:pt>
              </c:numCache>
            </c:numRef>
          </c:val>
          <c:smooth val="0"/>
          <c:extLst>
            <c:ext xmlns:c16="http://schemas.microsoft.com/office/drawing/2014/chart" uri="{C3380CC4-5D6E-409C-BE32-E72D297353CC}">
              <c16:uniqueId val="{00000000-BF2D-4647-8ED7-5F2C5007DA5A}"/>
            </c:ext>
          </c:extLst>
        </c:ser>
        <c:ser>
          <c:idx val="1"/>
          <c:order val="1"/>
          <c:tx>
            <c:strRef>
              <c:f>'Trends (1)'!$G$78</c:f>
              <c:strCache>
                <c:ptCount val="1"/>
                <c:pt idx="0">
                  <c:v>Kent</c:v>
                </c:pt>
              </c:strCache>
            </c:strRef>
          </c:tx>
          <c:spPr>
            <a:ln w="28575" cap="rnd">
              <a:solidFill>
                <a:schemeClr val="accent4">
                  <a:lumMod val="75000"/>
                </a:schemeClr>
              </a:solidFill>
              <a:round/>
            </a:ln>
            <a:effectLst/>
          </c:spPr>
          <c:marker>
            <c:symbol val="circle"/>
            <c:size val="5"/>
            <c:spPr>
              <a:solidFill>
                <a:schemeClr val="accent4">
                  <a:lumMod val="75000"/>
                </a:schemeClr>
              </a:solidFill>
              <a:ln w="9525">
                <a:solidFill>
                  <a:schemeClr val="accent4">
                    <a:lumMod val="75000"/>
                  </a:schemeClr>
                </a:solidFill>
              </a:ln>
              <a:effectLst/>
            </c:spPr>
          </c:marker>
          <c:cat>
            <c:numRef>
              <c:f>'Trends (1)'!$H$76:$L$76</c:f>
              <c:numCache>
                <c:formatCode>General</c:formatCode>
                <c:ptCount val="5"/>
                <c:pt idx="0">
                  <c:v>2017</c:v>
                </c:pt>
                <c:pt idx="1">
                  <c:v>2018</c:v>
                </c:pt>
                <c:pt idx="2">
                  <c:v>2019</c:v>
                </c:pt>
                <c:pt idx="3">
                  <c:v>2020</c:v>
                </c:pt>
                <c:pt idx="4">
                  <c:v>2021</c:v>
                </c:pt>
              </c:numCache>
            </c:numRef>
          </c:cat>
          <c:val>
            <c:numRef>
              <c:f>'Trends (1)'!$H$78:$L$78</c:f>
              <c:numCache>
                <c:formatCode>General</c:formatCode>
                <c:ptCount val="5"/>
                <c:pt idx="0">
                  <c:v>16.124700000000001</c:v>
                </c:pt>
                <c:pt idx="1">
                  <c:v>17.180599999999998</c:v>
                </c:pt>
                <c:pt idx="2">
                  <c:v>17.150700000000001</c:v>
                </c:pt>
                <c:pt idx="3">
                  <c:v>14.208500000000001</c:v>
                </c:pt>
                <c:pt idx="4">
                  <c:v>13.9034</c:v>
                </c:pt>
              </c:numCache>
            </c:numRef>
          </c:val>
          <c:smooth val="0"/>
          <c:extLst>
            <c:ext xmlns:c16="http://schemas.microsoft.com/office/drawing/2014/chart" uri="{C3380CC4-5D6E-409C-BE32-E72D297353CC}">
              <c16:uniqueId val="{00000001-BF2D-4647-8ED7-5F2C5007DA5A}"/>
            </c:ext>
          </c:extLst>
        </c:ser>
        <c:dLbls>
          <c:showLegendKey val="0"/>
          <c:showVal val="0"/>
          <c:showCatName val="0"/>
          <c:showSerName val="0"/>
          <c:showPercent val="0"/>
          <c:showBubbleSize val="0"/>
        </c:dLbls>
        <c:marker val="1"/>
        <c:smooth val="0"/>
        <c:axId val="685831072"/>
        <c:axId val="685833952"/>
      </c:lineChart>
      <c:catAx>
        <c:axId val="68583107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r>
                  <a:rPr lang="en-GB" b="1">
                    <a:latin typeface="Verdana" panose="020B0604030504040204" pitchFamily="34" charset="0"/>
                    <a:ea typeface="Verdana" panose="020B0604030504040204" pitchFamily="34" charset="0"/>
                  </a:rPr>
                  <a:t>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5833952"/>
        <c:crosses val="autoZero"/>
        <c:auto val="1"/>
        <c:lblAlgn val="ctr"/>
        <c:lblOffset val="100"/>
        <c:noMultiLvlLbl val="0"/>
      </c:catAx>
      <c:valAx>
        <c:axId val="685833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r>
                  <a:rPr lang="en-US" b="1">
                    <a:latin typeface="Verdana" panose="020B0604030504040204" pitchFamily="34" charset="0"/>
                    <a:ea typeface="Verdana" panose="020B0604030504040204" pitchFamily="34" charset="0"/>
                  </a:rPr>
                  <a:t>Rate per 1000</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5831072"/>
        <c:crosses val="autoZero"/>
        <c:crossBetween val="between"/>
      </c:valAx>
      <c:spPr>
        <a:noFill/>
        <a:ln>
          <a:solidFill>
            <a:schemeClr val="accent4">
              <a:lumMod val="75000"/>
              <a:alpha val="89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mn-cs"/>
              </a:defRPr>
            </a:pPr>
            <a:r>
              <a:rPr lang="en-GB" sz="1200" b="1">
                <a:latin typeface="Verdana" panose="020B0604030504040204" pitchFamily="34" charset="0"/>
                <a:ea typeface="Verdana" panose="020B0604030504040204" pitchFamily="34" charset="0"/>
              </a:rPr>
              <a:t>Teenage Mothers- Proportion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title>
    <c:autoTitleDeleted val="0"/>
    <c:plotArea>
      <c:layout/>
      <c:lineChart>
        <c:grouping val="standard"/>
        <c:varyColors val="0"/>
        <c:ser>
          <c:idx val="0"/>
          <c:order val="0"/>
          <c:tx>
            <c:strRef>
              <c:f>'Trends (2)'!$F$44</c:f>
              <c:strCache>
                <c:ptCount val="1"/>
                <c:pt idx="0">
                  <c:v>England</c:v>
                </c:pt>
              </c:strCache>
            </c:strRef>
          </c:tx>
          <c:spPr>
            <a:ln w="28575" cap="rnd">
              <a:solidFill>
                <a:schemeClr val="tx1"/>
              </a:solidFill>
              <a:round/>
            </a:ln>
            <a:effectLst/>
          </c:spPr>
          <c:marker>
            <c:symbol val="circle"/>
            <c:size val="5"/>
            <c:spPr>
              <a:solidFill>
                <a:schemeClr val="tx1"/>
              </a:solidFill>
              <a:ln w="9525">
                <a:solidFill>
                  <a:schemeClr val="accent1"/>
                </a:solidFill>
              </a:ln>
              <a:effectLst/>
            </c:spPr>
          </c:marker>
          <c:cat>
            <c:strRef>
              <c:f>'Trends (2)'!$G$43:$K$43</c:f>
              <c:strCache>
                <c:ptCount val="5"/>
                <c:pt idx="0">
                  <c:v>2018/19</c:v>
                </c:pt>
                <c:pt idx="1">
                  <c:v>2019/20</c:v>
                </c:pt>
                <c:pt idx="2">
                  <c:v>2020/21</c:v>
                </c:pt>
                <c:pt idx="3">
                  <c:v>2021/22</c:v>
                </c:pt>
                <c:pt idx="4">
                  <c:v>2022/23</c:v>
                </c:pt>
              </c:strCache>
            </c:strRef>
          </c:cat>
          <c:val>
            <c:numRef>
              <c:f>'Trends (2)'!$G$44:$K$44</c:f>
              <c:numCache>
                <c:formatCode>General</c:formatCode>
                <c:ptCount val="5"/>
                <c:pt idx="0">
                  <c:v>0.64</c:v>
                </c:pt>
                <c:pt idx="1">
                  <c:v>0.65</c:v>
                </c:pt>
                <c:pt idx="2">
                  <c:v>0.57999999999999996</c:v>
                </c:pt>
                <c:pt idx="3">
                  <c:v>0.56000000000000005</c:v>
                </c:pt>
                <c:pt idx="4">
                  <c:v>0.60560000000000003</c:v>
                </c:pt>
              </c:numCache>
            </c:numRef>
          </c:val>
          <c:smooth val="0"/>
          <c:extLst>
            <c:ext xmlns:c16="http://schemas.microsoft.com/office/drawing/2014/chart" uri="{C3380CC4-5D6E-409C-BE32-E72D297353CC}">
              <c16:uniqueId val="{00000000-3503-4958-A942-0AF547F024D9}"/>
            </c:ext>
          </c:extLst>
        </c:ser>
        <c:ser>
          <c:idx val="1"/>
          <c:order val="1"/>
          <c:tx>
            <c:strRef>
              <c:f>'Trends (2)'!$F$45</c:f>
              <c:strCache>
                <c:ptCount val="1"/>
                <c:pt idx="0">
                  <c:v>South East region (statistical)</c:v>
                </c:pt>
              </c:strCache>
            </c:strRef>
          </c:tx>
          <c:spPr>
            <a:ln w="28575" cap="rnd">
              <a:solidFill>
                <a:schemeClr val="accent5">
                  <a:lumMod val="75000"/>
                </a:schemeClr>
              </a:solidFill>
              <a:round/>
            </a:ln>
            <a:effectLst/>
          </c:spPr>
          <c:marker>
            <c:symbol val="circle"/>
            <c:size val="5"/>
            <c:spPr>
              <a:solidFill>
                <a:schemeClr val="accent5">
                  <a:lumMod val="75000"/>
                </a:schemeClr>
              </a:solidFill>
              <a:ln w="9525">
                <a:solidFill>
                  <a:schemeClr val="accent5">
                    <a:lumMod val="75000"/>
                  </a:schemeClr>
                </a:solidFill>
              </a:ln>
              <a:effectLst/>
            </c:spPr>
          </c:marker>
          <c:cat>
            <c:strRef>
              <c:f>'Trends (2)'!$G$43:$K$43</c:f>
              <c:strCache>
                <c:ptCount val="5"/>
                <c:pt idx="0">
                  <c:v>2018/19</c:v>
                </c:pt>
                <c:pt idx="1">
                  <c:v>2019/20</c:v>
                </c:pt>
                <c:pt idx="2">
                  <c:v>2020/21</c:v>
                </c:pt>
                <c:pt idx="3">
                  <c:v>2021/22</c:v>
                </c:pt>
                <c:pt idx="4">
                  <c:v>2022/23</c:v>
                </c:pt>
              </c:strCache>
            </c:strRef>
          </c:cat>
          <c:val>
            <c:numRef>
              <c:f>'Trends (2)'!$G$45:$K$45</c:f>
              <c:numCache>
                <c:formatCode>General</c:formatCode>
                <c:ptCount val="5"/>
                <c:pt idx="0">
                  <c:v>0.49</c:v>
                </c:pt>
                <c:pt idx="1">
                  <c:v>0.47</c:v>
                </c:pt>
                <c:pt idx="2">
                  <c:v>0.44</c:v>
                </c:pt>
                <c:pt idx="3">
                  <c:v>0.4</c:v>
                </c:pt>
                <c:pt idx="4">
                  <c:v>0.46479999999999999</c:v>
                </c:pt>
              </c:numCache>
            </c:numRef>
          </c:val>
          <c:smooth val="0"/>
          <c:extLst>
            <c:ext xmlns:c16="http://schemas.microsoft.com/office/drawing/2014/chart" uri="{C3380CC4-5D6E-409C-BE32-E72D297353CC}">
              <c16:uniqueId val="{00000001-3503-4958-A942-0AF547F024D9}"/>
            </c:ext>
          </c:extLst>
        </c:ser>
        <c:ser>
          <c:idx val="2"/>
          <c:order val="2"/>
          <c:tx>
            <c:strRef>
              <c:f>'Trends (2)'!$F$46</c:f>
              <c:strCache>
                <c:ptCount val="1"/>
                <c:pt idx="0">
                  <c:v>Kent</c:v>
                </c:pt>
              </c:strCache>
            </c:strRef>
          </c:tx>
          <c:spPr>
            <a:ln w="28575" cap="rnd">
              <a:solidFill>
                <a:schemeClr val="accent4">
                  <a:lumMod val="75000"/>
                </a:schemeClr>
              </a:solidFill>
              <a:round/>
            </a:ln>
            <a:effectLst/>
          </c:spPr>
          <c:marker>
            <c:symbol val="circle"/>
            <c:size val="5"/>
            <c:spPr>
              <a:solidFill>
                <a:schemeClr val="accent4">
                  <a:lumMod val="75000"/>
                </a:schemeClr>
              </a:solidFill>
              <a:ln w="9525">
                <a:solidFill>
                  <a:schemeClr val="accent3"/>
                </a:solidFill>
              </a:ln>
              <a:effectLst/>
            </c:spPr>
          </c:marker>
          <c:cat>
            <c:strRef>
              <c:f>'Trends (2)'!$G$43:$K$43</c:f>
              <c:strCache>
                <c:ptCount val="5"/>
                <c:pt idx="0">
                  <c:v>2018/19</c:v>
                </c:pt>
                <c:pt idx="1">
                  <c:v>2019/20</c:v>
                </c:pt>
                <c:pt idx="2">
                  <c:v>2020/21</c:v>
                </c:pt>
                <c:pt idx="3">
                  <c:v>2021/22</c:v>
                </c:pt>
                <c:pt idx="4">
                  <c:v>2022/23</c:v>
                </c:pt>
              </c:strCache>
            </c:strRef>
          </c:cat>
          <c:val>
            <c:numRef>
              <c:f>'Trends (2)'!$G$46:$K$46</c:f>
              <c:numCache>
                <c:formatCode>General</c:formatCode>
                <c:ptCount val="5"/>
                <c:pt idx="0">
                  <c:v>0.77</c:v>
                </c:pt>
                <c:pt idx="1">
                  <c:v>0.79</c:v>
                </c:pt>
                <c:pt idx="2">
                  <c:v>0.6</c:v>
                </c:pt>
                <c:pt idx="3">
                  <c:v>0.51</c:v>
                </c:pt>
                <c:pt idx="4">
                  <c:v>0.55759999999999998</c:v>
                </c:pt>
              </c:numCache>
            </c:numRef>
          </c:val>
          <c:smooth val="0"/>
          <c:extLst>
            <c:ext xmlns:c16="http://schemas.microsoft.com/office/drawing/2014/chart" uri="{C3380CC4-5D6E-409C-BE32-E72D297353CC}">
              <c16:uniqueId val="{00000002-3503-4958-A942-0AF547F024D9}"/>
            </c:ext>
          </c:extLst>
        </c:ser>
        <c:dLbls>
          <c:showLegendKey val="0"/>
          <c:showVal val="0"/>
          <c:showCatName val="0"/>
          <c:showSerName val="0"/>
          <c:showPercent val="0"/>
          <c:showBubbleSize val="0"/>
        </c:dLbls>
        <c:marker val="1"/>
        <c:smooth val="0"/>
        <c:axId val="610261072"/>
        <c:axId val="610282672"/>
      </c:lineChart>
      <c:catAx>
        <c:axId val="610261072"/>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r>
                  <a:rPr lang="en-GB" sz="1100" b="1">
                    <a:latin typeface="Verdana" panose="020B0604030504040204" pitchFamily="34" charset="0"/>
                    <a:ea typeface="Verdana" panose="020B0604030504040204" pitchFamily="34" charset="0"/>
                  </a:rPr>
                  <a:t>Year</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0282672"/>
        <c:crosses val="autoZero"/>
        <c:auto val="1"/>
        <c:lblAlgn val="ctr"/>
        <c:lblOffset val="100"/>
        <c:noMultiLvlLbl val="0"/>
      </c:catAx>
      <c:valAx>
        <c:axId val="610282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r>
                  <a:rPr lang="en-US" sz="1100" b="1">
                    <a:latin typeface="Verdana" panose="020B0604030504040204" pitchFamily="34" charset="0"/>
                    <a:ea typeface="Verdana" panose="020B0604030504040204" pitchFamily="34" charset="0"/>
                  </a:rPr>
                  <a:t>Proportion %</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026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Verdana" panose="020B0604030504040204" pitchFamily="34" charset="0"/>
                <a:ea typeface="Verdana" panose="020B0604030504040204" pitchFamily="34" charset="0"/>
                <a:cs typeface="+mn-cs"/>
              </a:defRPr>
            </a:pPr>
            <a:r>
              <a:rPr lang="en-GB" sz="1200" b="1"/>
              <a:t>Total prescribed LARC excluding injections </a:t>
            </a:r>
            <a:br>
              <a:rPr lang="en-GB" sz="1200" b="1"/>
            </a:br>
            <a:r>
              <a:rPr lang="en-GB" sz="1200" b="1"/>
              <a:t>Rate  1,000</a:t>
            </a:r>
          </a:p>
        </c:rich>
      </c:tx>
      <c:layout>
        <c:manualLayout>
          <c:xMode val="edge"/>
          <c:yMode val="edge"/>
          <c:x val="0.21317398685256086"/>
          <c:y val="2.0773697180982147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autoTitleDeleted val="0"/>
    <c:plotArea>
      <c:layout>
        <c:manualLayout>
          <c:layoutTarget val="inner"/>
          <c:xMode val="edge"/>
          <c:yMode val="edge"/>
          <c:x val="0.10191400794871068"/>
          <c:y val="0.21792995633703924"/>
          <c:w val="0.86346395564308298"/>
          <c:h val="0.6475769613037069"/>
        </c:manualLayout>
      </c:layout>
      <c:lineChart>
        <c:grouping val="standard"/>
        <c:varyColors val="0"/>
        <c:ser>
          <c:idx val="0"/>
          <c:order val="0"/>
          <c:tx>
            <c:strRef>
              <c:f>LARC!$C$2</c:f>
              <c:strCache>
                <c:ptCount val="1"/>
                <c:pt idx="0">
                  <c:v>Kent</c:v>
                </c:pt>
              </c:strCache>
            </c:strRef>
          </c:tx>
          <c:spPr>
            <a:ln w="28575" cap="rnd">
              <a:solidFill>
                <a:srgbClr val="2D7C82"/>
              </a:solidFill>
              <a:round/>
            </a:ln>
            <a:effectLst/>
          </c:spPr>
          <c:marker>
            <c:symbol val="square"/>
            <c:size val="5"/>
            <c:spPr>
              <a:solidFill>
                <a:schemeClr val="accent1"/>
              </a:solidFill>
              <a:ln w="9525">
                <a:solidFill>
                  <a:schemeClr val="accent1"/>
                </a:solidFill>
              </a:ln>
              <a:effectLst/>
            </c:spPr>
          </c:marker>
          <c:cat>
            <c:numRef>
              <c:f>LARC!$B$3:$B$11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LARC!$C$3:$C$11</c:f>
              <c:numCache>
                <c:formatCode>General</c:formatCode>
                <c:ptCount val="9"/>
                <c:pt idx="0">
                  <c:v>50.1</c:v>
                </c:pt>
                <c:pt idx="1">
                  <c:v>48.4</c:v>
                </c:pt>
                <c:pt idx="2">
                  <c:v>47.5</c:v>
                </c:pt>
                <c:pt idx="3">
                  <c:v>48.6</c:v>
                </c:pt>
                <c:pt idx="4">
                  <c:v>48.4</c:v>
                </c:pt>
                <c:pt idx="5">
                  <c:v>52.7</c:v>
                </c:pt>
                <c:pt idx="6">
                  <c:v>35.799999999999997</c:v>
                </c:pt>
                <c:pt idx="7">
                  <c:v>42.9</c:v>
                </c:pt>
                <c:pt idx="8">
                  <c:v>44.6</c:v>
                </c:pt>
              </c:numCache>
            </c:numRef>
          </c:val>
          <c:smooth val="0"/>
          <c:extLst>
            <c:ext xmlns:c16="http://schemas.microsoft.com/office/drawing/2014/chart" uri="{C3380CC4-5D6E-409C-BE32-E72D297353CC}">
              <c16:uniqueId val="{00000000-9FE5-4BC1-AA67-3A9C011DFECA}"/>
            </c:ext>
          </c:extLst>
        </c:ser>
        <c:ser>
          <c:idx val="1"/>
          <c:order val="1"/>
          <c:tx>
            <c:strRef>
              <c:f>LARC!$D$2</c:f>
              <c:strCache>
                <c:ptCount val="1"/>
                <c:pt idx="0">
                  <c:v>England</c:v>
                </c:pt>
              </c:strCache>
            </c:strRef>
          </c:tx>
          <c:spPr>
            <a:ln w="28575" cap="rnd">
              <a:solidFill>
                <a:schemeClr val="tx1"/>
              </a:solidFill>
              <a:round/>
            </a:ln>
            <a:effectLst/>
          </c:spPr>
          <c:marker>
            <c:symbol val="triangle"/>
            <c:size val="5"/>
            <c:spPr>
              <a:solidFill>
                <a:schemeClr val="tx1"/>
              </a:solidFill>
              <a:ln w="9525">
                <a:solidFill>
                  <a:schemeClr val="tx1"/>
                </a:solidFill>
              </a:ln>
              <a:effectLst/>
            </c:spPr>
          </c:marker>
          <c:cat>
            <c:numRef>
              <c:f>LARC!$B$3:$B$11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LARC!$D$3:$D$11</c:f>
              <c:numCache>
                <c:formatCode>General</c:formatCode>
                <c:ptCount val="9"/>
                <c:pt idx="0">
                  <c:v>50.2</c:v>
                </c:pt>
                <c:pt idx="1">
                  <c:v>48.2</c:v>
                </c:pt>
                <c:pt idx="2">
                  <c:v>45.5</c:v>
                </c:pt>
                <c:pt idx="3">
                  <c:v>46.6</c:v>
                </c:pt>
                <c:pt idx="4">
                  <c:v>48.1</c:v>
                </c:pt>
                <c:pt idx="5">
                  <c:v>49.2</c:v>
                </c:pt>
                <c:pt idx="6">
                  <c:v>33.5</c:v>
                </c:pt>
                <c:pt idx="7">
                  <c:v>41.8</c:v>
                </c:pt>
                <c:pt idx="8">
                  <c:v>44.1</c:v>
                </c:pt>
              </c:numCache>
            </c:numRef>
          </c:val>
          <c:smooth val="0"/>
          <c:extLst>
            <c:ext xmlns:c16="http://schemas.microsoft.com/office/drawing/2014/chart" uri="{C3380CC4-5D6E-409C-BE32-E72D297353CC}">
              <c16:uniqueId val="{00000001-9FE5-4BC1-AA67-3A9C011DFECA}"/>
            </c:ext>
          </c:extLst>
        </c:ser>
        <c:dLbls>
          <c:showLegendKey val="0"/>
          <c:showVal val="0"/>
          <c:showCatName val="0"/>
          <c:showSerName val="0"/>
          <c:showPercent val="0"/>
          <c:showBubbleSize val="0"/>
        </c:dLbls>
        <c:marker val="1"/>
        <c:smooth val="0"/>
        <c:axId val="349036840"/>
        <c:axId val="349038640"/>
      </c:lineChart>
      <c:catAx>
        <c:axId val="349036840"/>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GB" sz="900" b="1"/>
                  <a:t>Year</a:t>
                </a:r>
              </a:p>
            </c:rich>
          </c:tx>
          <c:layout>
            <c:manualLayout>
              <c:xMode val="edge"/>
              <c:yMode val="edge"/>
              <c:x val="0.51182456132698539"/>
              <c:y val="0.92942350726754475"/>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out"/>
        <c:minorTickMark val="none"/>
        <c:tickLblPos val="nextTo"/>
        <c:spPr>
          <a:noFill/>
          <a:ln w="9525" cap="flat" cmpd="sng" algn="ctr">
            <a:solidFill>
              <a:srgbClr val="898989"/>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349038640"/>
        <c:crosses val="autoZero"/>
        <c:auto val="1"/>
        <c:lblAlgn val="ctr"/>
        <c:lblOffset val="100"/>
        <c:noMultiLvlLbl val="0"/>
      </c:catAx>
      <c:valAx>
        <c:axId val="349038640"/>
        <c:scaling>
          <c:orientation val="minMax"/>
        </c:scaling>
        <c:delete val="0"/>
        <c:axPos val="l"/>
        <c:majorGridlines>
          <c:spPr>
            <a:ln w="9525" cap="flat" cmpd="sng" algn="ctr">
              <a:solidFill>
                <a:srgbClr val="898989"/>
              </a:solidFill>
              <a:prstDash val="dash"/>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en-GB" sz="900" b="1"/>
                  <a:t>Rate of prescribed LARCs</a:t>
                </a:r>
              </a:p>
            </c:rich>
          </c:tx>
          <c:layout>
            <c:manualLayout>
              <c:xMode val="edge"/>
              <c:yMode val="edge"/>
              <c:x val="1.7334281304681919E-2"/>
              <c:y val="0.352954695867239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General" sourceLinked="1"/>
        <c:majorTickMark val="out"/>
        <c:minorTickMark val="none"/>
        <c:tickLblPos val="nextTo"/>
        <c:spPr>
          <a:noFill/>
          <a:ln>
            <a:solidFill>
              <a:srgbClr val="898989"/>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349036840"/>
        <c:crosses val="autoZero"/>
        <c:crossBetween val="between"/>
      </c:valAx>
      <c:spPr>
        <a:noFill/>
        <a:ln>
          <a:noFill/>
        </a:ln>
        <a:effectLst/>
      </c:spPr>
    </c:plotArea>
    <c:legend>
      <c:legendPos val="b"/>
      <c:layout>
        <c:manualLayout>
          <c:xMode val="edge"/>
          <c:yMode val="edge"/>
          <c:x val="0.81098567211095918"/>
          <c:y val="0.10343323422511964"/>
          <c:w val="0.15301722414506289"/>
          <c:h val="9.468023881655506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DDF1F3"/>
        </a:solidFill>
        <a:ln>
          <a:solidFill>
            <a:srgbClr val="2D7C82"/>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txDef>
      <a:spPr bwMode="auto">
        <a:solidFill>
          <a:srgbClr val="FFFFFF"/>
        </a:solidFill>
        <a:ln w="9525">
          <a:solidFill>
            <a:srgbClr val="2D7C82"/>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f9d7f31-6201-494b-9121-e399bcddbde2" xsi:nil="true"/>
    <lcf76f155ced4ddcb4097134ff3c332f xmlns="b63547b0-f643-4886-84b0-d87c49b008d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D37869F3C06674EACA08AC62C5CA2BF" ma:contentTypeVersion="14" ma:contentTypeDescription="Create a new document." ma:contentTypeScope="" ma:versionID="a92328fbfb203841af847deff9b54ad2">
  <xsd:schema xmlns:xsd="http://www.w3.org/2001/XMLSchema" xmlns:xs="http://www.w3.org/2001/XMLSchema" xmlns:p="http://schemas.microsoft.com/office/2006/metadata/properties" xmlns:ns2="b63547b0-f643-4886-84b0-d87c49b008dc" xmlns:ns3="5f9d7f31-6201-494b-9121-e399bcddbde2" targetNamespace="http://schemas.microsoft.com/office/2006/metadata/properties" ma:root="true" ma:fieldsID="60b1d5b40b6b02e99cb3b0c1190b7342" ns2:_="" ns3:_="">
    <xsd:import namespace="b63547b0-f643-4886-84b0-d87c49b008dc"/>
    <xsd:import namespace="5f9d7f31-6201-494b-9121-e399bcddbde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3547b0-f643-4886-84b0-d87c49b008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f80089c-2ddf-4c5d-a009-f768e38e2bb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9d7f31-6201-494b-9121-e399bcddbde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cd347ab-27b6-48c1-b7eb-ddbd8919b55f}" ma:internalName="TaxCatchAll" ma:showField="CatchAllData" ma:web="5f9d7f31-6201-494b-9121-e399bcddbd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07BF7-95A9-43D7-A0BB-DE35433EB271}">
  <ds:schemaRefs>
    <ds:schemaRef ds:uri="http://schemas.microsoft.com/sharepoint/v3/contenttype/forms"/>
  </ds:schemaRefs>
</ds:datastoreItem>
</file>

<file path=customXml/itemProps2.xml><?xml version="1.0" encoding="utf-8"?>
<ds:datastoreItem xmlns:ds="http://schemas.openxmlformats.org/officeDocument/2006/customXml" ds:itemID="{923EB541-71E7-4011-B56A-254C7B19B189}">
  <ds:schemaRefs>
    <ds:schemaRef ds:uri="http://www.w3.org/XML/1998/namespace"/>
    <ds:schemaRef ds:uri="http://purl.org/dc/terms/"/>
    <ds:schemaRef ds:uri="http://schemas.microsoft.com/office/2006/documentManagement/types"/>
    <ds:schemaRef ds:uri="http://purl.org/dc/elements/1.1/"/>
    <ds:schemaRef ds:uri="http://purl.org/dc/dcmitype/"/>
    <ds:schemaRef ds:uri="http://schemas.microsoft.com/office/2006/metadata/properties"/>
    <ds:schemaRef ds:uri="5f9d7f31-6201-494b-9121-e399bcddbde2"/>
    <ds:schemaRef ds:uri="http://schemas.microsoft.com/office/infopath/2007/PartnerControls"/>
    <ds:schemaRef ds:uri="http://schemas.openxmlformats.org/package/2006/metadata/core-properties"/>
    <ds:schemaRef ds:uri="b63547b0-f643-4886-84b0-d87c49b008dc"/>
  </ds:schemaRefs>
</ds:datastoreItem>
</file>

<file path=customXml/itemProps3.xml><?xml version="1.0" encoding="utf-8"?>
<ds:datastoreItem xmlns:ds="http://schemas.openxmlformats.org/officeDocument/2006/customXml" ds:itemID="{64D80C1B-6484-4F95-8490-DBA418009C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3547b0-f643-4886-84b0-d87c49b008dc"/>
    <ds:schemaRef ds:uri="5f9d7f31-6201-494b-9121-e399bcddbd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5831B4-9722-47EA-9853-08C5D0339EF3}">
  <ds:schemaRefs>
    <ds:schemaRef ds:uri="http://schemas.openxmlformats.org/officeDocument/2006/bibliography"/>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93</Pages>
  <Words>26186</Words>
  <Characters>149263</Characters>
  <Application>Microsoft Office Word</Application>
  <DocSecurity>0</DocSecurity>
  <Lines>1243</Lines>
  <Paragraphs>350</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175099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Brisley - CED SC</dc:creator>
  <cp:keywords/>
  <cp:lastModifiedBy>Mark Chambers  - CED SPRCA</cp:lastModifiedBy>
  <cp:revision>12</cp:revision>
  <cp:lastPrinted>2015-10-08T17:21:00Z</cp:lastPrinted>
  <dcterms:created xsi:type="dcterms:W3CDTF">2025-01-07T16:15:00Z</dcterms:created>
  <dcterms:modified xsi:type="dcterms:W3CDTF">2025-01-12T08:17:00Z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0x010100DD37869F3C06674EACA08AC62C5CA2BF</vt:lpwstr>
  </property>
  <property fmtid="{D5CDD505-2E9C-101B-9397-08002B2CF9AE}" pid="3" name="MediaServiceImageTags">
    <vt:lpwstr/>
  </property>
</Properties>
</file>